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F2498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 xml:space="preserve">Intake and </w:t>
          </w:r>
          <w:r w:rsidR="00E14B55">
            <w:rPr>
              <w:lang w:bidi="ar-SA"/>
            </w:rPr>
            <w:t>Orientation</w:t>
          </w:r>
          <w:r w:rsidR="00E4365C">
            <w:rPr>
              <w:lang w:bidi="ar-SA"/>
            </w:rPr>
            <w:t xml:space="preserve">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386EE7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386EE7" w:rsidRDefault="00C502E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386EE7" w:rsidRPr="001324AA" w:rsidRDefault="00386EE7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E14B55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Conditional Work Referral Policy</w:t>
                </w:r>
              </w:p>
              <w:p w:rsidR="001324AA" w:rsidRDefault="00633140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Student Policy</w:t>
                </w:r>
              </w:p>
              <w:p w:rsidR="00633140" w:rsidRPr="001324AA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Content Policy</w:t>
                </w:r>
              </w:p>
            </w:tc>
          </w:tr>
        </w:tbl>
        <w:p w:rsidR="001324AA" w:rsidRDefault="00F2498C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</w:t>
          </w:r>
          <w:r w:rsidRPr="00F2498C">
            <w:rPr>
              <w:lang w:bidi="ar-SA"/>
            </w:rPr>
            <w:t xml:space="preserve">local ABE consortium’s </w:t>
          </w:r>
          <w:r w:rsidR="009D44DE" w:rsidRPr="00F2498C">
            <w:rPr>
              <w:lang w:bidi="ar-SA"/>
            </w:rPr>
            <w:t>intake and orientation</w:t>
          </w:r>
          <w:r w:rsidRPr="00F2498C">
            <w:rPr>
              <w:lang w:bidi="ar-SA"/>
            </w:rPr>
            <w:t xml:space="preserve"> procedures that are used at all local sites. These procedures </w:t>
          </w:r>
          <w:r w:rsidR="005B3933" w:rsidRPr="00F2498C">
            <w:rPr>
              <w:lang w:bidi="ar-SA"/>
            </w:rPr>
            <w:t>describe</w:t>
          </w:r>
          <w:r w:rsidRPr="00F2498C">
            <w:rPr>
              <w:lang w:bidi="ar-SA"/>
            </w:rPr>
            <w:t xml:space="preserve"> how the consor</w:t>
          </w:r>
          <w:r w:rsidR="005B3933" w:rsidRPr="00F2498C">
            <w:rPr>
              <w:lang w:bidi="ar-SA"/>
            </w:rPr>
            <w:t>tium is complying</w:t>
          </w:r>
          <w:r w:rsidR="005B3933">
            <w:rPr>
              <w:lang w:bidi="ar-SA"/>
            </w:rPr>
            <w:t xml:space="preserve">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A8381E" w:rsidRDefault="004C652F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C27FBF">
            <w:rPr>
              <w:b/>
              <w:lang w:bidi="ar-SA"/>
            </w:rPr>
            <w:t>eligibility</w:t>
          </w:r>
          <w:r>
            <w:rPr>
              <w:lang w:bidi="ar-SA"/>
            </w:rPr>
            <w:t xml:space="preserve"> </w:t>
          </w:r>
          <w:r w:rsidR="0085040E">
            <w:rPr>
              <w:lang w:bidi="ar-SA"/>
            </w:rPr>
            <w:t xml:space="preserve">is determined and verified for </w:t>
          </w:r>
          <w:r>
            <w:rPr>
              <w:lang w:bidi="ar-SA"/>
            </w:rPr>
            <w:t>all enrolled students</w:t>
          </w:r>
          <w:r w:rsidR="00A8381E">
            <w:rPr>
              <w:lang w:bidi="ar-SA"/>
            </w:rPr>
            <w:t xml:space="preserve"> to ensure they are</w:t>
          </w:r>
          <w:r w:rsidR="00B341C4">
            <w:rPr>
              <w:lang w:bidi="ar-SA"/>
            </w:rPr>
            <w:t>/have</w:t>
          </w:r>
          <w:r>
            <w:rPr>
              <w:lang w:bidi="ar-SA"/>
            </w:rPr>
            <w:t xml:space="preserve">: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Age Eligible: Individuals are 17 years of age or older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Not in K-12 Education:  I</w:t>
          </w:r>
          <w:r w:rsidR="004C652F">
            <w:rPr>
              <w:lang w:bidi="ar-SA"/>
            </w:rPr>
            <w:t>ndividuals are not enrolled or required to be enrolled in secondary school (high school) under state law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Educational Need</w:t>
          </w:r>
          <w:r w:rsidR="004C652F">
            <w:rPr>
              <w:lang w:bidi="ar-SA"/>
            </w:rPr>
            <w:t xml:space="preserve">: </w:t>
          </w:r>
          <w:r>
            <w:rPr>
              <w:lang w:bidi="ar-SA"/>
            </w:rPr>
            <w:t>Individuals meet at least one of the following: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 proficiency to</w:t>
          </w:r>
          <w:r w:rsidR="004C652F">
            <w:rPr>
              <w:lang w:bidi="ar-SA"/>
            </w:rPr>
            <w:t xml:space="preserve"> speak, read or write the English language, 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</w:t>
          </w:r>
          <w:r w:rsidR="004C652F">
            <w:rPr>
              <w:lang w:bidi="ar-SA"/>
            </w:rPr>
            <w:t xml:space="preserve"> a high school diploma or its recognized equivalent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and/or </w:t>
          </w:r>
        </w:p>
        <w:p w:rsidR="004C652F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</w:t>
          </w:r>
          <w:r w:rsidR="004C652F">
            <w:rPr>
              <w:lang w:bidi="ar-SA"/>
            </w:rPr>
            <w:t>ack sufficient mastery of basic educational</w:t>
          </w:r>
          <w:r>
            <w:rPr>
              <w:lang w:bidi="ar-SA"/>
            </w:rPr>
            <w:t>/</w:t>
          </w:r>
          <w:r w:rsidR="004C652F">
            <w:rPr>
              <w:lang w:bidi="ar-SA"/>
            </w:rPr>
            <w:t xml:space="preserve"> skills</w:t>
          </w:r>
        </w:p>
        <w:p w:rsidR="00B341C4" w:rsidRDefault="006A57E1" w:rsidP="00B341C4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Meeting additional local consortium or program r</w:t>
          </w:r>
          <w:r w:rsidR="00B341C4">
            <w:rPr>
              <w:lang w:bidi="ar-SA"/>
            </w:rPr>
            <w:t>equirements</w:t>
          </w:r>
        </w:p>
        <w:p w:rsidR="002B70ED" w:rsidRDefault="002B70ED" w:rsidP="002B70ED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How students age 21 and younger are informed of their right to attend K-12, and the difference between the K-12 system and the ABE system</w:t>
          </w:r>
        </w:p>
        <w:p w:rsidR="0026599A" w:rsidRDefault="00B341C4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What and how</w:t>
          </w:r>
          <w:r w:rsidR="0026599A">
            <w:rPr>
              <w:lang w:bidi="ar-SA"/>
            </w:rPr>
            <w:t xml:space="preserve"> </w:t>
          </w:r>
          <w:r w:rsidR="00C27FBF" w:rsidRPr="00C27FBF">
            <w:rPr>
              <w:b/>
              <w:lang w:bidi="ar-SA"/>
            </w:rPr>
            <w:t xml:space="preserve">student </w:t>
          </w:r>
          <w:r w:rsidR="0026599A" w:rsidRPr="00C27FBF">
            <w:rPr>
              <w:b/>
              <w:lang w:bidi="ar-SA"/>
            </w:rPr>
            <w:t>data</w:t>
          </w:r>
          <w:r w:rsidR="0026599A">
            <w:rPr>
              <w:lang w:bidi="ar-SA"/>
            </w:rPr>
            <w:t xml:space="preserve"> is gathered and </w:t>
          </w:r>
          <w:r>
            <w:rPr>
              <w:lang w:bidi="ar-SA"/>
            </w:rPr>
            <w:t xml:space="preserve">how it is </w:t>
          </w:r>
          <w:r w:rsidR="0026599A">
            <w:rPr>
              <w:lang w:bidi="ar-SA"/>
            </w:rPr>
            <w:t>entered into SiD in a timely manner</w:t>
          </w:r>
        </w:p>
        <w:p w:rsidR="00B341C4" w:rsidRDefault="0085040E" w:rsidP="00777999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="0026599A">
            <w:rPr>
              <w:lang w:bidi="ar-SA"/>
            </w:rPr>
            <w:t>the consortium</w:t>
          </w:r>
          <w:r w:rsidR="00B341C4">
            <w:rPr>
              <w:lang w:bidi="ar-SA"/>
            </w:rPr>
            <w:t xml:space="preserve"> conducts student </w:t>
          </w:r>
          <w:r w:rsidR="0026599A" w:rsidRPr="00C27FBF">
            <w:rPr>
              <w:b/>
              <w:lang w:bidi="ar-SA"/>
            </w:rPr>
            <w:t>orientation</w:t>
          </w:r>
          <w:r w:rsidR="0026599A">
            <w:rPr>
              <w:lang w:bidi="ar-SA"/>
            </w:rPr>
            <w:t xml:space="preserve"> </w:t>
          </w:r>
          <w:r w:rsidR="00B341C4">
            <w:rPr>
              <w:lang w:bidi="ar-SA"/>
            </w:rPr>
            <w:t>that provides students with essential information, policies and expectations</w:t>
          </w:r>
        </w:p>
        <w:p w:rsidR="00B341C4" w:rsidRDefault="00B341C4" w:rsidP="00B341C4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the consortium promotes a </w:t>
          </w:r>
          <w:r w:rsidRPr="00C27FBF">
            <w:rPr>
              <w:b/>
              <w:lang w:bidi="ar-SA"/>
            </w:rPr>
            <w:t>goal-setting process</w:t>
          </w:r>
          <w:r>
            <w:rPr>
              <w:lang w:bidi="ar-SA"/>
            </w:rPr>
            <w:t xml:space="preserve">, starting at intake and </w:t>
          </w:r>
          <w:r w:rsidR="00F2498C">
            <w:rPr>
              <w:lang w:bidi="ar-SA"/>
            </w:rPr>
            <w:t>on an ongoing basis,</w:t>
          </w:r>
          <w:r>
            <w:rPr>
              <w:lang w:bidi="ar-SA"/>
            </w:rPr>
            <w:t xml:space="preserve"> to articulate, set, and evaluate student educatio</w:t>
          </w:r>
          <w:r w:rsidR="00F2498C">
            <w:rPr>
              <w:lang w:bidi="ar-SA"/>
            </w:rPr>
            <w:t xml:space="preserve">nal, </w:t>
          </w:r>
          <w:r w:rsidR="006A57E1">
            <w:rPr>
              <w:lang w:bidi="ar-SA"/>
            </w:rPr>
            <w:t xml:space="preserve">career </w:t>
          </w:r>
          <w:r w:rsidR="00F2498C">
            <w:rPr>
              <w:lang w:bidi="ar-SA"/>
            </w:rPr>
            <w:t xml:space="preserve">and related life </w:t>
          </w:r>
          <w:r w:rsidR="006A57E1">
            <w:rPr>
              <w:lang w:bidi="ar-SA"/>
            </w:rPr>
            <w:t xml:space="preserve">goals </w:t>
          </w:r>
        </w:p>
        <w:p w:rsidR="0026599A" w:rsidRPr="00C27FBF" w:rsidRDefault="00B341C4" w:rsidP="0026599A">
          <w:pPr>
            <w:pStyle w:val="ListParagraph"/>
            <w:numPr>
              <w:ilvl w:val="0"/>
              <w:numId w:val="36"/>
            </w:numPr>
            <w:rPr>
              <w:b/>
              <w:lang w:bidi="ar-SA"/>
            </w:rPr>
          </w:pPr>
          <w:r>
            <w:rPr>
              <w:lang w:bidi="ar-SA"/>
            </w:rPr>
            <w:t xml:space="preserve">How the consortium manages the process of enrolling and placing individuals with </w:t>
          </w:r>
          <w:r w:rsidRPr="00C27FBF">
            <w:rPr>
              <w:b/>
              <w:lang w:bidi="ar-SA"/>
            </w:rPr>
            <w:t>c</w:t>
          </w:r>
          <w:r w:rsidR="0026599A" w:rsidRPr="00C27FBF">
            <w:rPr>
              <w:b/>
              <w:lang w:bidi="ar-SA"/>
            </w:rPr>
            <w:t>onditional work referral</w:t>
          </w:r>
          <w:r w:rsidRPr="00C27FBF">
            <w:rPr>
              <w:b/>
              <w:lang w:bidi="ar-SA"/>
            </w:rPr>
            <w:t>s</w:t>
          </w:r>
        </w:p>
        <w:p w:rsidR="00C27FBF" w:rsidRDefault="00C27FBF" w:rsidP="00C27FB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ABE consortium has for local staff regarding contact hour tracking.</w:t>
          </w:r>
        </w:p>
        <w:p w:rsidR="00C27FBF" w:rsidRDefault="00C27FBF" w:rsidP="00C27FBF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6A57E1" w:rsidRDefault="006A57E1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5B3933" w:rsidRDefault="005B3933" w:rsidP="00B341C4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1324AA" w:rsidRPr="001324AA" w:rsidRDefault="00A8381E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Intake and Orientation procedures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6A57E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90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E" w:rsidRDefault="00D558BE" w:rsidP="00D91FF4">
      <w:r>
        <w:separator/>
      </w:r>
    </w:p>
  </w:endnote>
  <w:endnote w:type="continuationSeparator" w:id="0">
    <w:p w:rsidR="00D558BE" w:rsidRDefault="00D558B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F2498C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 xml:space="preserve">Intake and Orientation </w:t>
    </w:r>
    <w:r w:rsidR="004B7CE6">
      <w:rPr>
        <w:color w:val="003865" w:themeColor="accent1"/>
      </w:rPr>
      <w:t>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882BA6">
      <w:rPr>
        <w:noProof/>
        <w:color w:val="003865" w:themeColor="accent1"/>
      </w:rPr>
      <w:t>1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882BA6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E" w:rsidRDefault="00D558BE" w:rsidP="00D91FF4">
      <w:r>
        <w:separator/>
      </w:r>
    </w:p>
  </w:footnote>
  <w:footnote w:type="continuationSeparator" w:id="0">
    <w:p w:rsidR="00D558BE" w:rsidRDefault="00D558B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99" w:rsidRDefault="001E4299">
    <w:pPr>
      <w:pStyle w:val="Header"/>
    </w:pPr>
  </w:p>
  <w:p w:rsidR="001E4299" w:rsidRDefault="001E4299">
    <w:pPr>
      <w:pStyle w:val="Header"/>
    </w:pPr>
  </w:p>
  <w:p w:rsidR="001E4299" w:rsidRDefault="001E4299">
    <w:pPr>
      <w:pStyle w:val="Header"/>
    </w:pPr>
    <w:r>
      <w:t>Document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0C7D03"/>
    <w:multiLevelType w:val="hybridMultilevel"/>
    <w:tmpl w:val="3A74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4979"/>
    <w:multiLevelType w:val="hybridMultilevel"/>
    <w:tmpl w:val="D562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1871"/>
    <w:multiLevelType w:val="hybridMultilevel"/>
    <w:tmpl w:val="DA0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B20"/>
    <w:multiLevelType w:val="hybridMultilevel"/>
    <w:tmpl w:val="F4E0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E0EE5"/>
    <w:multiLevelType w:val="hybridMultilevel"/>
    <w:tmpl w:val="96BC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23"/>
  </w:num>
  <w:num w:numId="5">
    <w:abstractNumId w:val="2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9"/>
  </w:num>
  <w:num w:numId="13">
    <w:abstractNumId w:val="30"/>
  </w:num>
  <w:num w:numId="14">
    <w:abstractNumId w:val="19"/>
  </w:num>
  <w:num w:numId="15">
    <w:abstractNumId w:val="2"/>
  </w:num>
  <w:num w:numId="16">
    <w:abstractNumId w:val="30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25"/>
  </w:num>
  <w:num w:numId="27">
    <w:abstractNumId w:val="14"/>
  </w:num>
  <w:num w:numId="28">
    <w:abstractNumId w:val="8"/>
  </w:num>
  <w:num w:numId="29">
    <w:abstractNumId w:val="18"/>
  </w:num>
  <w:num w:numId="30">
    <w:abstractNumId w:val="13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6"/>
  </w:num>
  <w:num w:numId="36">
    <w:abstractNumId w:val="1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6593F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4299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599A"/>
    <w:rsid w:val="0026674F"/>
    <w:rsid w:val="00280071"/>
    <w:rsid w:val="002807DF"/>
    <w:rsid w:val="00282084"/>
    <w:rsid w:val="00291052"/>
    <w:rsid w:val="002A12EA"/>
    <w:rsid w:val="002B57CC"/>
    <w:rsid w:val="002B5A29"/>
    <w:rsid w:val="002B5E79"/>
    <w:rsid w:val="002B70ED"/>
    <w:rsid w:val="002C0859"/>
    <w:rsid w:val="002C4D0D"/>
    <w:rsid w:val="002D5016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86EE7"/>
    <w:rsid w:val="003A1479"/>
    <w:rsid w:val="003A1813"/>
    <w:rsid w:val="003A5030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C652F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A57E1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243A8"/>
    <w:rsid w:val="0074778B"/>
    <w:rsid w:val="0077225E"/>
    <w:rsid w:val="007857F7"/>
    <w:rsid w:val="00793F48"/>
    <w:rsid w:val="007B35B2"/>
    <w:rsid w:val="007D1FFF"/>
    <w:rsid w:val="007D42A0"/>
    <w:rsid w:val="007E685C"/>
    <w:rsid w:val="007F073B"/>
    <w:rsid w:val="007F6108"/>
    <w:rsid w:val="007F7097"/>
    <w:rsid w:val="00806678"/>
    <w:rsid w:val="008067A6"/>
    <w:rsid w:val="008140CC"/>
    <w:rsid w:val="008251B3"/>
    <w:rsid w:val="00844F1D"/>
    <w:rsid w:val="008466DD"/>
    <w:rsid w:val="00846F64"/>
    <w:rsid w:val="0084731A"/>
    <w:rsid w:val="0084749F"/>
    <w:rsid w:val="0085040E"/>
    <w:rsid w:val="00864202"/>
    <w:rsid w:val="00882BA6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381E"/>
    <w:rsid w:val="00A92AFF"/>
    <w:rsid w:val="00A93F40"/>
    <w:rsid w:val="00A96F93"/>
    <w:rsid w:val="00AB1F46"/>
    <w:rsid w:val="00AB3C2D"/>
    <w:rsid w:val="00AB442F"/>
    <w:rsid w:val="00AB65FF"/>
    <w:rsid w:val="00AD122F"/>
    <w:rsid w:val="00AD39DA"/>
    <w:rsid w:val="00AD5DFE"/>
    <w:rsid w:val="00AD6BA1"/>
    <w:rsid w:val="00AE5772"/>
    <w:rsid w:val="00AF22AD"/>
    <w:rsid w:val="00AF5107"/>
    <w:rsid w:val="00AF6C27"/>
    <w:rsid w:val="00B06264"/>
    <w:rsid w:val="00B07C8F"/>
    <w:rsid w:val="00B275D4"/>
    <w:rsid w:val="00B341C4"/>
    <w:rsid w:val="00B437C8"/>
    <w:rsid w:val="00B50E1A"/>
    <w:rsid w:val="00B61640"/>
    <w:rsid w:val="00B75051"/>
    <w:rsid w:val="00B77CC5"/>
    <w:rsid w:val="00B854C0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27FBF"/>
    <w:rsid w:val="00C309AE"/>
    <w:rsid w:val="00C32D0F"/>
    <w:rsid w:val="00C365CE"/>
    <w:rsid w:val="00C417EB"/>
    <w:rsid w:val="00C502E3"/>
    <w:rsid w:val="00C528AE"/>
    <w:rsid w:val="00C579C1"/>
    <w:rsid w:val="00C73101"/>
    <w:rsid w:val="00C90830"/>
    <w:rsid w:val="00CA5D23"/>
    <w:rsid w:val="00CE0FEE"/>
    <w:rsid w:val="00CE45B0"/>
    <w:rsid w:val="00CF1393"/>
    <w:rsid w:val="00CF2A14"/>
    <w:rsid w:val="00CF4F3A"/>
    <w:rsid w:val="00D0014D"/>
    <w:rsid w:val="00D059F7"/>
    <w:rsid w:val="00D22819"/>
    <w:rsid w:val="00D33929"/>
    <w:rsid w:val="00D511F0"/>
    <w:rsid w:val="00D54EE5"/>
    <w:rsid w:val="00D558BE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498C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52F"/>
    <w:pPr>
      <w:spacing w:before="120" w:after="120" w:line="276" w:lineRule="auto"/>
      <w:ind w:left="360"/>
    </w:pPr>
    <w:rPr>
      <w:rFonts w:ascii="Arial" w:eastAsiaTheme="minorHAnsi" w:hAnsi="Arial" w:cstheme="minorBidi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52F"/>
    <w:rPr>
      <w:rFonts w:ascii="Arial" w:eastAsiaTheme="minorHAnsi" w:hAnsi="Arial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AFD09-AD9E-44D8-8C29-241F7A5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Liden, Astrid (MDE)</cp:lastModifiedBy>
  <cp:revision>2</cp:revision>
  <cp:lastPrinted>2017-11-06T19:50:00Z</cp:lastPrinted>
  <dcterms:created xsi:type="dcterms:W3CDTF">2022-10-24T15:59:00Z</dcterms:created>
  <dcterms:modified xsi:type="dcterms:W3CDTF">2022-10-24T15:59:00Z</dcterms:modified>
</cp:coreProperties>
</file>