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>
            <w:rPr>
              <w:lang w:bidi="ar-SA"/>
            </w:rPr>
            <w:t>Inst</w:t>
          </w:r>
          <w:r w:rsidR="00C72DAB">
            <w:rPr>
              <w:lang w:bidi="ar-SA"/>
            </w:rPr>
            <w:t>ructional Program Description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72DAB" w:rsidRPr="001324AA" w:rsidTr="00D90535">
        <w:tc>
          <w:tcPr>
            <w:tcW w:w="2965" w:type="dxa"/>
            <w:shd w:val="clear" w:color="auto" w:fill="3B5F10" w:themeFill="accent2" w:themeFillShade="80"/>
          </w:tcPr>
          <w:p w:rsidR="00C72DAB" w:rsidRDefault="00C72DA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bookmarkStart w:id="0" w:name="_GoBack"/>
            <w:r>
              <w:rPr>
                <w:b/>
                <w:color w:val="FFFFFF" w:themeColor="background1"/>
                <w:lang w:bidi="ar-SA"/>
              </w:rPr>
              <w:t>Consortium name</w:t>
            </w:r>
          </w:p>
        </w:tc>
        <w:tc>
          <w:tcPr>
            <w:tcW w:w="7105" w:type="dxa"/>
          </w:tcPr>
          <w:p w:rsidR="00C72DAB" w:rsidRPr="001324AA" w:rsidRDefault="00C72DA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bookmarkEnd w:id="0"/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997B8D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997B8D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997B8D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</w:t>
            </w:r>
            <w:r w:rsidR="00AD49FE" w:rsidRPr="00AD49FE">
              <w:rPr>
                <w:lang w:bidi="ar-SA"/>
              </w:rPr>
              <w:t>www.literacymn.org/distancelearning</w:t>
            </w:r>
            <w:r w:rsidR="00E87F5E" w:rsidRPr="00E87F5E">
              <w:rPr>
                <w:lang w:bidi="ar-SA"/>
              </w:rPr>
              <w:t>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r w:rsidR="00A013C5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</w:t>
      </w:r>
      <w:proofErr w:type="spellStart"/>
      <w:r w:rsidRPr="001A3690">
        <w:rPr>
          <w:rFonts w:asciiTheme="minorHAnsi" w:hAnsiTheme="minorHAnsi" w:cs="Arial"/>
        </w:rPr>
        <w:t>Northstar</w:t>
      </w:r>
      <w:proofErr w:type="spellEnd"/>
      <w:r w:rsidRPr="001A3690">
        <w:rPr>
          <w:rFonts w:asciiTheme="minorHAnsi" w:hAnsiTheme="minorHAnsi" w:cs="Arial"/>
        </w:rPr>
        <w:t xml:space="preserve">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are expected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C72DAB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 xml:space="preserve">Instructional Program Description </w:t>
      </w:r>
      <w:r w:rsidR="003B6E44">
        <w:rPr>
          <w:lang w:bidi="ar-SA"/>
        </w:rPr>
        <w:t xml:space="preserve">- </w:t>
      </w:r>
      <w:r>
        <w:rPr>
          <w:lang w:bidi="ar-SA"/>
        </w:rPr>
        <w:t>Table of 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5319"/>
        <w:gridCol w:w="1791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C72DAB" w:rsidP="00D234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/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39399E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Pr="0039399E" w:rsidRDefault="0039399E" w:rsidP="00846F72">
      <w:pPr>
        <w:pStyle w:val="Heading1"/>
        <w:rPr>
          <w:lang w:bidi="ar-SA"/>
        </w:rPr>
      </w:pPr>
      <w:r>
        <w:rPr>
          <w:lang w:bidi="ar-SA"/>
        </w:rPr>
        <w:lastRenderedPageBreak/>
        <w:t>Instructional Program Description – Course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423FB8" w:rsidRPr="001324AA" w:rsidTr="00D2347B">
        <w:tc>
          <w:tcPr>
            <w:tcW w:w="2330" w:type="dxa"/>
            <w:shd w:val="clear" w:color="auto" w:fill="3B5F10" w:themeFill="accent2" w:themeFillShade="80"/>
          </w:tcPr>
          <w:p w:rsidR="00423FB8" w:rsidRDefault="00423FB8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423FB8" w:rsidRPr="001324AA" w:rsidRDefault="00423FB8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846F72" w:rsidRPr="001324AA" w:rsidTr="00336976">
        <w:tc>
          <w:tcPr>
            <w:tcW w:w="2330" w:type="dxa"/>
            <w:shd w:val="clear" w:color="auto" w:fill="3B5F10" w:themeFill="accent2" w:themeFillShade="80"/>
          </w:tcPr>
          <w:p w:rsidR="00846F72" w:rsidRDefault="00846F72" w:rsidP="00336976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846F72" w:rsidRPr="001324AA" w:rsidRDefault="00846F72" w:rsidP="00336976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846F72" w:rsidRPr="001324AA" w:rsidTr="00336976">
        <w:tc>
          <w:tcPr>
            <w:tcW w:w="2330" w:type="dxa"/>
            <w:shd w:val="clear" w:color="auto" w:fill="3B5F10" w:themeFill="accent2" w:themeFillShade="80"/>
          </w:tcPr>
          <w:p w:rsidR="00846F72" w:rsidRDefault="00846F72" w:rsidP="00336976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Delivery method (In-person, hybrid, DL, combination)</w:t>
            </w:r>
          </w:p>
        </w:tc>
        <w:tc>
          <w:tcPr>
            <w:tcW w:w="11160" w:type="dxa"/>
            <w:gridSpan w:val="2"/>
          </w:tcPr>
          <w:p w:rsidR="00846F72" w:rsidRPr="001324AA" w:rsidRDefault="00846F72" w:rsidP="00336976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Northstar</w:t>
            </w:r>
            <w:proofErr w:type="spellEnd"/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18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BD" w:rsidRDefault="00BB54BD" w:rsidP="00D91FF4">
      <w:r>
        <w:separator/>
      </w:r>
    </w:p>
  </w:endnote>
  <w:endnote w:type="continuationSeparator" w:id="0">
    <w:p w:rsidR="00BB54BD" w:rsidRDefault="00BB54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>
      <w:rPr>
        <w:color w:val="003865" w:themeColor="accent1"/>
      </w:rPr>
      <w:t>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846F72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BD" w:rsidRDefault="00BB54BD" w:rsidP="00D91FF4">
      <w:r>
        <w:separator/>
      </w:r>
    </w:p>
  </w:footnote>
  <w:footnote w:type="continuationSeparator" w:id="0">
    <w:p w:rsidR="00BB54BD" w:rsidRDefault="00BB54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E1" w:rsidRDefault="00E10AE1">
    <w:pPr>
      <w:pStyle w:val="Header"/>
    </w:pPr>
  </w:p>
  <w:p w:rsidR="00C72DAB" w:rsidRDefault="00C7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6E44"/>
    <w:rsid w:val="003B7D82"/>
    <w:rsid w:val="003C03D3"/>
    <w:rsid w:val="003C4644"/>
    <w:rsid w:val="003C5BE3"/>
    <w:rsid w:val="003F0E17"/>
    <w:rsid w:val="003F5F5F"/>
    <w:rsid w:val="00413A7C"/>
    <w:rsid w:val="004141DD"/>
    <w:rsid w:val="00423FB8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23555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6F72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97B8D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49FE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B54B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DAB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F0EE6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7F50C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DUC-FILESERVER2\Groups\Adult%20Basic%20Education\Narratives\2018\Narrative%20document%20templates\atlasab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teracymn.org/distancelearn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D004F-7427-4C3C-8A18-3E21A3E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Logan, Brandy (MDE)</cp:lastModifiedBy>
  <cp:revision>5</cp:revision>
  <dcterms:created xsi:type="dcterms:W3CDTF">2022-10-24T16:00:00Z</dcterms:created>
  <dcterms:modified xsi:type="dcterms:W3CDTF">2023-09-19T19:00:00Z</dcterms:modified>
</cp:coreProperties>
</file>