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ar-SA"/>
        </w:rPr>
        <w:id w:val="10729564"/>
        <w:docPartObj>
          <w:docPartGallery w:val="Cover Pages"/>
          <w:docPartUnique/>
        </w:docPartObj>
      </w:sdtPr>
      <w:sdtEndPr>
        <w:rPr>
          <w:szCs w:val="20"/>
          <w:lang w:bidi="en-US"/>
        </w:rPr>
      </w:sdtEndPr>
      <w:sdtContent>
        <w:p w:rsidR="000E795A" w:rsidRDefault="000E795A" w:rsidP="00B04D72">
          <w:r>
            <w:t xml:space="preserve">INTEGRATED EDUCATION &amp; TRAINING </w:t>
          </w:r>
        </w:p>
        <w:p w:rsidR="00B04D72" w:rsidRDefault="000E795A" w:rsidP="00B04D72">
          <w:r>
            <w:t>“…a service approach that provides adult education and literacy activities concurrently and contextually with workforce preparation activities and workforce training for a specific occupation or occupational cluster for the purpose of educational and career advancement.” (34 CFR §463.35).</w:t>
          </w:r>
        </w:p>
        <w:tbl>
          <w:tblPr>
            <w:tblStyle w:val="TableGrid"/>
            <w:tblW w:w="0" w:type="auto"/>
            <w:tblLook w:val="04A0" w:firstRow="1" w:lastRow="0" w:firstColumn="1" w:lastColumn="0" w:noHBand="0" w:noVBand="1"/>
          </w:tblPr>
          <w:tblGrid>
            <w:gridCol w:w="7555"/>
            <w:gridCol w:w="2515"/>
          </w:tblGrid>
          <w:tr w:rsidR="00B04D72" w:rsidTr="00B04D72">
            <w:tc>
              <w:tcPr>
                <w:tcW w:w="7555" w:type="dxa"/>
              </w:tcPr>
              <w:sdt>
                <w:sdtPr>
                  <w:rPr>
                    <w:lang w:bidi="ar-SA"/>
                  </w:rPr>
                  <w:id w:val="1593903702"/>
                  <w:docPartObj>
                    <w:docPartGallery w:val="Cover Pages"/>
                    <w:docPartUnique/>
                  </w:docPartObj>
                </w:sdtPr>
                <w:sdtEndPr>
                  <w:rPr>
                    <w:szCs w:val="20"/>
                    <w:lang w:bidi="en-US"/>
                  </w:rPr>
                </w:sdtEndPr>
                <w:sdtContent>
                  <w:p w:rsidR="00B04D72" w:rsidRDefault="00B04D72" w:rsidP="007B6F16">
                    <w:pPr>
                      <w:rPr>
                        <w:lang w:bidi="ar-SA"/>
                      </w:rPr>
                    </w:pPr>
                    <w:r>
                      <w:t xml:space="preserve">1. Does the IET program include </w:t>
                    </w:r>
                    <w:r w:rsidR="007B6F16">
                      <w:t>English language acquisition, English Language</w:t>
                    </w:r>
                    <w:r>
                      <w:t xml:space="preserve"> </w:t>
                    </w:r>
                    <w:r w:rsidR="007B6F16">
                      <w:t>Arts, and/or math instruction</w:t>
                    </w:r>
                    <w:r>
                      <w:t xml:space="preserve">? </w:t>
                    </w:r>
                    <w:r w:rsidR="007B6F16">
                      <w:t xml:space="preserve"> (i.e. CCRS)</w:t>
                    </w:r>
                  </w:p>
                </w:sdtContent>
              </w:sdt>
            </w:tc>
            <w:tc>
              <w:tcPr>
                <w:tcW w:w="2515" w:type="dxa"/>
              </w:tcPr>
              <w:p w:rsidR="00B04D72" w:rsidRDefault="00B04D72" w:rsidP="00B04D72">
                <w:r>
                  <w:t xml:space="preserve">     </w:t>
                </w:r>
                <w:r>
                  <w:sym w:font="Wingdings" w:char="F0A8"/>
                </w:r>
                <w:r>
                  <w:t xml:space="preserve">  Yes     </w:t>
                </w:r>
                <w:r>
                  <w:sym w:font="Wingdings" w:char="F0A8"/>
                </w:r>
                <w:r>
                  <w:t xml:space="preserve">  No</w:t>
                </w:r>
              </w:p>
            </w:tc>
          </w:tr>
          <w:tr w:rsidR="00B04D72" w:rsidTr="00B04D72">
            <w:tc>
              <w:tcPr>
                <w:tcW w:w="7555" w:type="dxa"/>
              </w:tcPr>
              <w:p w:rsidR="00B04D72" w:rsidRDefault="00B04D72" w:rsidP="00B04D72">
                <w:pPr>
                  <w:rPr>
                    <w:lang w:bidi="ar-SA"/>
                  </w:rPr>
                </w:pPr>
                <w:r>
                  <w:rPr>
                    <w:lang w:bidi="ar-SA"/>
                  </w:rPr>
                  <w:t xml:space="preserve">2. </w:t>
                </w:r>
                <w:r>
                  <w:t xml:space="preserve">Does </w:t>
                </w:r>
                <w:r w:rsidR="007B6F16">
                  <w:t>the</w:t>
                </w:r>
                <w:r>
                  <w:t xml:space="preserve"> IET program include workforce preparation activities? </w:t>
                </w:r>
              </w:p>
              <w:p w:rsidR="00B04D72" w:rsidRDefault="00B04D72" w:rsidP="00B04D72">
                <w:r w:rsidRPr="00B04D72">
                  <w:rPr>
                    <w:i/>
                  </w:rPr>
                  <w:t>The term ‘‘workforce preparation activities’’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w:t>
                </w:r>
                <w:r>
                  <w:t>.</w:t>
                </w:r>
              </w:p>
              <w:p w:rsidR="007B6F16" w:rsidRDefault="007B6F16" w:rsidP="00893C66">
                <w:pPr>
                  <w:rPr>
                    <w:lang w:bidi="ar-SA"/>
                  </w:rPr>
                </w:pPr>
                <w:r>
                  <w:t xml:space="preserve">(i.e. </w:t>
                </w:r>
                <w:r w:rsidR="00893C66">
                  <w:t xml:space="preserve">Content from ACES TIF, </w:t>
                </w:r>
                <w:bookmarkStart w:id="0" w:name="_GoBack"/>
                <w:bookmarkEnd w:id="0"/>
                <w:proofErr w:type="spellStart"/>
                <w:r>
                  <w:t>Northstar</w:t>
                </w:r>
                <w:proofErr w:type="spellEnd"/>
                <w:r>
                  <w:t xml:space="preserve"> Digital Literacy)</w:t>
                </w:r>
              </w:p>
            </w:tc>
            <w:tc>
              <w:tcPr>
                <w:tcW w:w="2515" w:type="dxa"/>
              </w:tcPr>
              <w:p w:rsidR="00B04D72" w:rsidRDefault="00B04D72" w:rsidP="00B04D72">
                <w:r>
                  <w:t xml:space="preserve">     </w:t>
                </w:r>
                <w:r>
                  <w:sym w:font="Wingdings" w:char="F0A8"/>
                </w:r>
                <w:r>
                  <w:t xml:space="preserve">  Yes     </w:t>
                </w:r>
                <w:r>
                  <w:sym w:font="Wingdings" w:char="F0A8"/>
                </w:r>
                <w:r>
                  <w:t xml:space="preserve">  No</w:t>
                </w:r>
              </w:p>
            </w:tc>
          </w:tr>
          <w:tr w:rsidR="00B04D72" w:rsidTr="00B04D72">
            <w:tc>
              <w:tcPr>
                <w:tcW w:w="7555" w:type="dxa"/>
              </w:tcPr>
              <w:p w:rsidR="00B04D72" w:rsidRDefault="00B04D72" w:rsidP="007B6F16">
                <w:r>
                  <w:t xml:space="preserve">3. Does the IET program include </w:t>
                </w:r>
                <w:r w:rsidR="007B6F16">
                  <w:t>occupational</w:t>
                </w:r>
                <w:r>
                  <w:t xml:space="preserve"> training? </w:t>
                </w:r>
              </w:p>
              <w:p w:rsidR="007B6F16" w:rsidRDefault="007B6F16" w:rsidP="007B6F16">
                <w:r>
                  <w:t>(e.g. Welding, CNA, Child Development, ServSafe</w:t>
                </w:r>
                <w:r w:rsidR="006D6858">
                  <w:rPr>
                    <w:rFonts w:cs="Calibri"/>
                  </w:rPr>
                  <w:t>®</w:t>
                </w:r>
                <w:r>
                  <w:t>, etc.)</w:t>
                </w:r>
              </w:p>
            </w:tc>
            <w:tc>
              <w:tcPr>
                <w:tcW w:w="2515" w:type="dxa"/>
              </w:tcPr>
              <w:p w:rsidR="00B04D72" w:rsidRDefault="00B04D72" w:rsidP="00B04D72">
                <w:r>
                  <w:t xml:space="preserve">     </w:t>
                </w:r>
                <w:r>
                  <w:sym w:font="Wingdings" w:char="F0A8"/>
                </w:r>
                <w:r>
                  <w:t xml:space="preserve">  Yes     </w:t>
                </w:r>
                <w:r>
                  <w:sym w:font="Wingdings" w:char="F0A8"/>
                </w:r>
                <w:r>
                  <w:t xml:space="preserve">  No</w:t>
                </w:r>
              </w:p>
            </w:tc>
          </w:tr>
          <w:tr w:rsidR="00B04D72" w:rsidTr="00B04D72">
            <w:tc>
              <w:tcPr>
                <w:tcW w:w="7555" w:type="dxa"/>
              </w:tcPr>
              <w:p w:rsidR="00B04D72" w:rsidRDefault="00B04D72" w:rsidP="00B04D72">
                <w:r>
                  <w:t xml:space="preserve">4. Do the “integrated” services occur concurrently and contextually? </w:t>
                </w:r>
              </w:p>
            </w:tc>
            <w:tc>
              <w:tcPr>
                <w:tcW w:w="2515" w:type="dxa"/>
              </w:tcPr>
              <w:p w:rsidR="00B04D72" w:rsidRDefault="00B04D72" w:rsidP="00B04D72">
                <w:r>
                  <w:t xml:space="preserve">     </w:t>
                </w:r>
                <w:r>
                  <w:sym w:font="Wingdings" w:char="F0A8"/>
                </w:r>
                <w:r>
                  <w:t xml:space="preserve">  Yes     </w:t>
                </w:r>
                <w:r>
                  <w:sym w:font="Wingdings" w:char="F0A8"/>
                </w:r>
                <w:r>
                  <w:t xml:space="preserve">  No</w:t>
                </w:r>
              </w:p>
            </w:tc>
          </w:tr>
          <w:tr w:rsidR="00B04D72" w:rsidTr="00B04D72">
            <w:tc>
              <w:tcPr>
                <w:tcW w:w="7555" w:type="dxa"/>
              </w:tcPr>
              <w:p w:rsidR="00B04D72" w:rsidRDefault="00B04D72" w:rsidP="007B6F16">
                <w:r>
                  <w:t xml:space="preserve">5. Is the IET program part of a </w:t>
                </w:r>
                <w:r w:rsidR="007B6F16">
                  <w:t>broader career pathway?</w:t>
                </w:r>
              </w:p>
            </w:tc>
            <w:tc>
              <w:tcPr>
                <w:tcW w:w="2515" w:type="dxa"/>
              </w:tcPr>
              <w:p w:rsidR="00B04D72" w:rsidRDefault="00B04D72" w:rsidP="00B04D72">
                <w:r>
                  <w:t xml:space="preserve">     </w:t>
                </w:r>
                <w:r>
                  <w:sym w:font="Wingdings" w:char="F0A8"/>
                </w:r>
                <w:r>
                  <w:t xml:space="preserve">  Yes     </w:t>
                </w:r>
                <w:r>
                  <w:sym w:font="Wingdings" w:char="F0A8"/>
                </w:r>
                <w:r>
                  <w:t xml:space="preserve">  No</w:t>
                </w:r>
              </w:p>
            </w:tc>
          </w:tr>
        </w:tbl>
        <w:p w:rsidR="00073127" w:rsidRDefault="00073127" w:rsidP="00B04D72"/>
        <w:p w:rsidR="000E795A" w:rsidRDefault="000E795A" w:rsidP="00073127">
          <w:pPr>
            <w:rPr>
              <w:szCs w:val="20"/>
            </w:rPr>
          </w:pPr>
          <w:r>
            <w:rPr>
              <w:szCs w:val="20"/>
            </w:rPr>
            <w:t xml:space="preserve">For complete definitions of all IET components refer to the complete checklist at </w:t>
          </w:r>
        </w:p>
      </w:sdtContent>
    </w:sdt>
    <w:p w:rsidR="000E795A" w:rsidRDefault="00686ED9" w:rsidP="00073127">
      <w:hyperlink r:id="rId11" w:history="1">
        <w:r w:rsidR="000E795A" w:rsidRPr="000E795A">
          <w:rPr>
            <w:color w:val="0000FF"/>
            <w:u w:val="single"/>
          </w:rPr>
          <w:t>https://lincs.ed.gov/sites/default/files/IET_checklist508FINAL_0.pdf</w:t>
        </w:r>
      </w:hyperlink>
      <w:r w:rsidR="000E795A">
        <w:t>.</w:t>
      </w:r>
    </w:p>
    <w:p w:rsidR="000E795A" w:rsidRPr="000E795A" w:rsidRDefault="000E795A" w:rsidP="00073127">
      <w:pPr>
        <w:rPr>
          <w:szCs w:val="20"/>
        </w:rPr>
      </w:pPr>
      <w:r>
        <w:t xml:space="preserve">If you have </w:t>
      </w:r>
      <w:r w:rsidR="008859F8">
        <w:t>additional</w:t>
      </w:r>
      <w:r>
        <w:t xml:space="preserve"> questions</w:t>
      </w:r>
      <w:r w:rsidR="008859F8">
        <w:t>,</w:t>
      </w:r>
      <w:r>
        <w:t xml:space="preserve"> please contact Julie Dincau at julie.dincau@state.mn.us.</w:t>
      </w:r>
    </w:p>
    <w:sectPr w:rsidR="000E795A" w:rsidRPr="000E795A" w:rsidSect="00B437C8">
      <w:head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D9" w:rsidRDefault="00686ED9" w:rsidP="00D91FF4">
      <w:r>
        <w:separator/>
      </w:r>
    </w:p>
  </w:endnote>
  <w:endnote w:type="continuationSeparator" w:id="0">
    <w:p w:rsidR="00686ED9" w:rsidRDefault="00686ED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D9" w:rsidRDefault="00686ED9" w:rsidP="00D91FF4">
      <w:r>
        <w:separator/>
      </w:r>
    </w:p>
  </w:footnote>
  <w:footnote w:type="continuationSeparator" w:id="0">
    <w:p w:rsidR="00686ED9" w:rsidRDefault="00686ED9"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72" w:rsidRDefault="00B04D72">
    <w:pPr>
      <w:pStyle w:val="Header"/>
    </w:pPr>
    <w:r>
      <w:rPr>
        <w:noProof/>
        <w:lang w:bidi="ar-S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352425</wp:posOffset>
              </wp:positionV>
              <wp:extent cx="5949950" cy="377190"/>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5949950" cy="3771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04D72" w:rsidRDefault="00B04D72">
                              <w:pPr>
                                <w:pStyle w:val="Header"/>
                                <w:tabs>
                                  <w:tab w:val="clear" w:pos="4680"/>
                                  <w:tab w:val="clear" w:pos="9360"/>
                                </w:tabs>
                                <w:jc w:val="center"/>
                                <w:rPr>
                                  <w:caps/>
                                  <w:color w:val="FFFFFF" w:themeColor="background1"/>
                                </w:rPr>
                              </w:pPr>
                              <w:r w:rsidRPr="000E795A">
                                <w:rPr>
                                  <w:caps/>
                                  <w:color w:val="FFFFFF" w:themeColor="background1"/>
                                  <w:sz w:val="32"/>
                                  <w:szCs w:val="32"/>
                                </w:rPr>
                                <w:t>Integrated Education and Training quick checklist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angle 197" o:spid="_x0000_s1026" style="position:absolute;margin-left:0;margin-top:27.75pt;width:468.5pt;height:29.7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" o:allowoverlap="f" fillcolor="#003865 [3204]" stroked="f" strokeweight=".85pt">
              <v:textbo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04D72" w:rsidRDefault="00B04D72">
                        <w:pPr>
                          <w:pStyle w:val="Header"/>
                          <w:tabs>
                            <w:tab w:val="clear" w:pos="4680"/>
                            <w:tab w:val="clear" w:pos="9360"/>
                          </w:tabs>
                          <w:jc w:val="center"/>
                          <w:rPr>
                            <w:caps/>
                            <w:color w:val="FFFFFF" w:themeColor="background1"/>
                          </w:rPr>
                        </w:pPr>
                        <w:r w:rsidRPr="000E795A">
                          <w:rPr>
                            <w:caps/>
                            <w:color w:val="FFFFFF" w:themeColor="background1"/>
                            <w:sz w:val="32"/>
                            <w:szCs w:val="32"/>
                          </w:rPr>
                          <w:t>Integrated Education and Training quick checklist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11D0B"/>
    <w:multiLevelType w:val="hybridMultilevel"/>
    <w:tmpl w:val="A88A2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8"/>
  </w:num>
  <w:num w:numId="4">
    <w:abstractNumId w:val="25"/>
  </w:num>
  <w:num w:numId="5">
    <w:abstractNumId w:val="23"/>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9"/>
  </w:num>
  <w:num w:numId="13">
    <w:abstractNumId w:val="30"/>
  </w:num>
  <w:num w:numId="14">
    <w:abstractNumId w:val="22"/>
  </w:num>
  <w:num w:numId="15">
    <w:abstractNumId w:val="8"/>
  </w:num>
  <w:num w:numId="16">
    <w:abstractNumId w:val="30"/>
  </w:num>
  <w:num w:numId="17">
    <w:abstractNumId w:val="22"/>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72"/>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E795A"/>
    <w:rsid w:val="000F4BB1"/>
    <w:rsid w:val="00135082"/>
    <w:rsid w:val="00135DC7"/>
    <w:rsid w:val="00147ED1"/>
    <w:rsid w:val="001500D6"/>
    <w:rsid w:val="00157C41"/>
    <w:rsid w:val="0016050A"/>
    <w:rsid w:val="0016451B"/>
    <w:rsid w:val="001661D9"/>
    <w:rsid w:val="001708EC"/>
    <w:rsid w:val="00191086"/>
    <w:rsid w:val="001925A8"/>
    <w:rsid w:val="0019673D"/>
    <w:rsid w:val="00197518"/>
    <w:rsid w:val="00197F44"/>
    <w:rsid w:val="001A46BB"/>
    <w:rsid w:val="001B6FD0"/>
    <w:rsid w:val="001B7D48"/>
    <w:rsid w:val="001C3208"/>
    <w:rsid w:val="001C55E0"/>
    <w:rsid w:val="001E5573"/>
    <w:rsid w:val="001E5ECF"/>
    <w:rsid w:val="001F2B02"/>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6ED9"/>
    <w:rsid w:val="00687189"/>
    <w:rsid w:val="00697CCC"/>
    <w:rsid w:val="006B13B7"/>
    <w:rsid w:val="006B2942"/>
    <w:rsid w:val="006B3994"/>
    <w:rsid w:val="006C0E45"/>
    <w:rsid w:val="006D4829"/>
    <w:rsid w:val="006D6858"/>
    <w:rsid w:val="006E18EC"/>
    <w:rsid w:val="006F3B38"/>
    <w:rsid w:val="00703012"/>
    <w:rsid w:val="007137A4"/>
    <w:rsid w:val="0074778B"/>
    <w:rsid w:val="0077225E"/>
    <w:rsid w:val="007857F7"/>
    <w:rsid w:val="00793F48"/>
    <w:rsid w:val="007B35B2"/>
    <w:rsid w:val="007B6F16"/>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859F8"/>
    <w:rsid w:val="00893C66"/>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4D72"/>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238F8"/>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A365F"/>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51DBC"/>
  <w15:chartTrackingRefBased/>
  <w15:docId w15:val="{3821F700-06E9-49F7-9E33-987EB2CF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B04D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cs.ed.gov/sites/default/files/IET_checklist508FINAL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572B39-99B0-42DF-96C5-FF8BC049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Integrated Education and Training quick checklist</vt:lpstr>
    </vt:vector>
  </TitlesOfParts>
  <Company>Minnesota Department Of Education</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Education and Training quick checklist</dc:title>
  <dc:subject/>
  <dc:creator>Feedback</dc:creator>
  <cp:keywords/>
  <dc:description/>
  <cp:lastModifiedBy>Feedback</cp:lastModifiedBy>
  <cp:revision>3</cp:revision>
  <dcterms:created xsi:type="dcterms:W3CDTF">2020-01-30T20:08:00Z</dcterms:created>
  <dcterms:modified xsi:type="dcterms:W3CDTF">2020-01-30T23:07:00Z</dcterms:modified>
</cp:coreProperties>
</file>