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003865"/>
          <w:sz w:val="36"/>
          <w:szCs w:val="36"/>
          <w:lang w:bidi="ar-SA"/>
        </w:r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2037D9" w:rsidRPr="002037D9" w:rsidRDefault="002037D9" w:rsidP="002037D9">
          <w:pPr>
            <w:pStyle w:val="Heading1"/>
            <w:rPr>
              <w:szCs w:val="32"/>
            </w:rPr>
          </w:pPr>
          <w:r>
            <w:t>Minnesota ABE</w:t>
          </w:r>
          <w:r w:rsidRPr="00CF11B6">
            <w:t xml:space="preserve"> Core Federal Performance Targets</w:t>
          </w:r>
        </w:p>
      </w:sdtContent>
    </w:sdt>
    <w:p w:rsidR="002037D9" w:rsidRDefault="002037D9" w:rsidP="002037D9">
      <w:pPr>
        <w:spacing w:before="0" w:after="0"/>
        <w:rPr>
          <w:rFonts w:asciiTheme="minorHAnsi" w:hAnsiTheme="minorHAnsi" w:cs="Arial"/>
          <w:b/>
          <w:i/>
        </w:rPr>
      </w:pPr>
      <w:r>
        <w:rPr>
          <w:rFonts w:asciiTheme="minorHAnsi" w:hAnsiTheme="minorHAnsi" w:cs="Arial"/>
          <w:b/>
          <w:i/>
        </w:rPr>
        <w:t>Adult Basic Education (ABE), Title II of the Workforce Innovation and Opportunity Act (WIOA)</w:t>
      </w:r>
    </w:p>
    <w:p w:rsidR="002037D9" w:rsidRPr="00BA64C3" w:rsidRDefault="002037D9" w:rsidP="002037D9">
      <w:pPr>
        <w:spacing w:before="0" w:after="0"/>
        <w:rPr>
          <w:rFonts w:asciiTheme="minorHAnsi" w:hAnsiTheme="minorHAnsi" w:cs="Arial"/>
          <w:b/>
          <w:i/>
        </w:rPr>
      </w:pPr>
      <w:r w:rsidRPr="00BA64C3">
        <w:rPr>
          <w:rFonts w:asciiTheme="minorHAnsi" w:hAnsiTheme="minorHAnsi" w:cs="Arial"/>
          <w:b/>
          <w:i/>
        </w:rPr>
        <w:t>Targets for Measurable Skill Gain (MSG)</w:t>
      </w:r>
      <w:bookmarkStart w:id="0" w:name="_GoBack"/>
      <w:bookmarkEnd w:id="0"/>
    </w:p>
    <w:tbl>
      <w:tblPr>
        <w:tblStyle w:val="TableGrid"/>
        <w:tblpPr w:leftFromText="180" w:rightFromText="180" w:vertAnchor="text" w:horzAnchor="margin" w:tblpY="285"/>
        <w:tblW w:w="10430" w:type="dxa"/>
        <w:tblLayout w:type="fixed"/>
        <w:tblLook w:val="04A0" w:firstRow="1" w:lastRow="0" w:firstColumn="1" w:lastColumn="0" w:noHBand="0" w:noVBand="1"/>
      </w:tblPr>
      <w:tblGrid>
        <w:gridCol w:w="4040"/>
        <w:gridCol w:w="900"/>
        <w:gridCol w:w="1260"/>
        <w:gridCol w:w="1350"/>
        <w:gridCol w:w="1440"/>
        <w:gridCol w:w="1440"/>
      </w:tblGrid>
      <w:tr w:rsidR="002037D9" w:rsidRPr="00BA64C3" w:rsidTr="001B4509">
        <w:trPr>
          <w:trHeight w:val="438"/>
        </w:trPr>
        <w:tc>
          <w:tcPr>
            <w:tcW w:w="4040" w:type="dxa"/>
            <w:vMerge w:val="restart"/>
            <w:tcBorders>
              <w:right w:val="single" w:sz="12" w:space="0" w:color="auto"/>
            </w:tcBorders>
            <w:shd w:val="clear" w:color="auto" w:fill="003865" w:themeFill="accent1"/>
            <w:hideMark/>
          </w:tcPr>
          <w:p w:rsidR="002037D9" w:rsidRPr="00BA64C3" w:rsidRDefault="002037D9" w:rsidP="001B4509">
            <w:pPr>
              <w:spacing w:before="0" w:after="0"/>
              <w:rPr>
                <w:rFonts w:asciiTheme="minorHAnsi" w:hAnsiTheme="minorHAnsi" w:cs="Arial"/>
                <w:b/>
                <w:bCs/>
                <w:color w:val="FFFFFF"/>
                <w:sz w:val="24"/>
                <w:szCs w:val="24"/>
              </w:rPr>
            </w:pPr>
            <w:bookmarkStart w:id="1" w:name="RANGE!A5:AC23"/>
            <w:r w:rsidRPr="00BA64C3">
              <w:rPr>
                <w:rFonts w:asciiTheme="minorHAnsi" w:hAnsiTheme="minorHAnsi" w:cs="Arial"/>
                <w:b/>
                <w:bCs/>
                <w:color w:val="FFFFFF"/>
                <w:sz w:val="24"/>
                <w:szCs w:val="24"/>
              </w:rPr>
              <w:t>NRS Educational Functioning Level and Core Indicator Goals</w:t>
            </w:r>
            <w:bookmarkEnd w:id="1"/>
          </w:p>
        </w:tc>
        <w:tc>
          <w:tcPr>
            <w:tcW w:w="3510" w:type="dxa"/>
            <w:gridSpan w:val="3"/>
            <w:tcBorders>
              <w:top w:val="single" w:sz="12" w:space="0" w:color="auto"/>
              <w:left w:val="single" w:sz="12" w:space="0" w:color="auto"/>
              <w:right w:val="single" w:sz="12" w:space="0" w:color="auto"/>
            </w:tcBorders>
            <w:shd w:val="clear" w:color="auto" w:fill="003865" w:themeFill="accent1"/>
            <w:noWrap/>
            <w:hideMark/>
          </w:tcPr>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MN FY 2017</w:t>
            </w:r>
          </w:p>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(2016-17)</w:t>
            </w:r>
            <w:r w:rsidR="00EE4671">
              <w:rPr>
                <w:rFonts w:asciiTheme="minorHAnsi" w:hAnsiTheme="minorHAnsi" w:cs="Arial"/>
                <w:b/>
                <w:bCs/>
                <w:color w:val="FFFFFF"/>
                <w:sz w:val="24"/>
                <w:szCs w:val="24"/>
              </w:rPr>
              <w:t>*</w:t>
            </w:r>
          </w:p>
        </w:tc>
        <w:tc>
          <w:tcPr>
            <w:tcW w:w="1440" w:type="dxa"/>
            <w:tcBorders>
              <w:top w:val="single" w:sz="12" w:space="0" w:color="auto"/>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FY 2019</w:t>
            </w:r>
          </w:p>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(2018-19)</w:t>
            </w:r>
            <w:r w:rsidR="00EE4671">
              <w:rPr>
                <w:rFonts w:asciiTheme="minorHAnsi" w:hAnsiTheme="minorHAnsi" w:cs="Arial"/>
                <w:b/>
                <w:bCs/>
                <w:color w:val="FFFFFF"/>
                <w:sz w:val="24"/>
                <w:szCs w:val="24"/>
              </w:rPr>
              <w:t>*</w:t>
            </w:r>
          </w:p>
        </w:tc>
        <w:tc>
          <w:tcPr>
            <w:tcW w:w="1440" w:type="dxa"/>
            <w:tcBorders>
              <w:top w:val="single" w:sz="12" w:space="0" w:color="auto"/>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FY 2020</w:t>
            </w:r>
          </w:p>
          <w:p w:rsidR="002037D9" w:rsidRPr="00BA64C3" w:rsidRDefault="002037D9" w:rsidP="001B4509">
            <w:pPr>
              <w:spacing w:before="0" w:after="0"/>
              <w:jc w:val="center"/>
              <w:rPr>
                <w:rFonts w:asciiTheme="minorHAnsi" w:hAnsiTheme="minorHAnsi" w:cs="Arial"/>
                <w:b/>
                <w:bCs/>
                <w:color w:val="FFFFFF"/>
                <w:sz w:val="24"/>
                <w:szCs w:val="24"/>
              </w:rPr>
            </w:pPr>
            <w:r w:rsidRPr="00BA64C3">
              <w:rPr>
                <w:rFonts w:asciiTheme="minorHAnsi" w:hAnsiTheme="minorHAnsi" w:cs="Arial"/>
                <w:b/>
                <w:bCs/>
                <w:color w:val="FFFFFF"/>
                <w:sz w:val="24"/>
                <w:szCs w:val="24"/>
              </w:rPr>
              <w:t>(2019-20)</w:t>
            </w:r>
            <w:r w:rsidR="00EE4671">
              <w:rPr>
                <w:rFonts w:asciiTheme="minorHAnsi" w:hAnsiTheme="minorHAnsi" w:cs="Arial"/>
                <w:b/>
                <w:bCs/>
                <w:color w:val="FFFFFF"/>
                <w:sz w:val="24"/>
                <w:szCs w:val="24"/>
              </w:rPr>
              <w:t>*</w:t>
            </w:r>
          </w:p>
        </w:tc>
      </w:tr>
      <w:tr w:rsidR="002037D9" w:rsidRPr="00BA64C3" w:rsidTr="001B4509">
        <w:trPr>
          <w:trHeight w:val="910"/>
        </w:trPr>
        <w:tc>
          <w:tcPr>
            <w:tcW w:w="4040" w:type="dxa"/>
            <w:vMerge/>
            <w:tcBorders>
              <w:right w:val="single" w:sz="12" w:space="0" w:color="auto"/>
            </w:tcBorders>
            <w:hideMark/>
          </w:tcPr>
          <w:p w:rsidR="002037D9" w:rsidRPr="00BA64C3" w:rsidRDefault="002037D9" w:rsidP="001B4509">
            <w:pPr>
              <w:spacing w:before="0" w:after="0"/>
              <w:rPr>
                <w:rFonts w:asciiTheme="minorHAnsi" w:hAnsiTheme="minorHAnsi" w:cs="Arial"/>
                <w:b/>
                <w:bCs/>
                <w:sz w:val="24"/>
                <w:szCs w:val="24"/>
              </w:rPr>
            </w:pPr>
          </w:p>
        </w:tc>
        <w:tc>
          <w:tcPr>
            <w:tcW w:w="3510" w:type="dxa"/>
            <w:gridSpan w:val="3"/>
            <w:tcBorders>
              <w:left w:val="single" w:sz="12" w:space="0" w:color="auto"/>
              <w:right w:val="single" w:sz="12" w:space="0" w:color="auto"/>
            </w:tcBorders>
            <w:hideMark/>
          </w:tcPr>
          <w:p w:rsidR="002037D9" w:rsidRPr="00BA64C3" w:rsidRDefault="002037D9" w:rsidP="001B4509">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Completing Each Level/Goal</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Earning Measurable Skill Gain</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color w:val="4F6228"/>
                <w:sz w:val="24"/>
                <w:szCs w:val="24"/>
              </w:rPr>
            </w:pPr>
            <w:r w:rsidRPr="00BA64C3">
              <w:rPr>
                <w:rFonts w:asciiTheme="minorHAnsi" w:hAnsiTheme="minorHAnsi" w:cs="Arial"/>
                <w:color w:val="4F6228"/>
                <w:sz w:val="24"/>
                <w:szCs w:val="24"/>
              </w:rPr>
              <w:t>% Earning Measurable Skill Gain</w:t>
            </w:r>
          </w:p>
        </w:tc>
      </w:tr>
      <w:tr w:rsidR="002037D9" w:rsidRPr="00BA64C3" w:rsidTr="001B4509">
        <w:trPr>
          <w:trHeight w:val="271"/>
        </w:trPr>
        <w:tc>
          <w:tcPr>
            <w:tcW w:w="4040" w:type="dxa"/>
            <w:vMerge/>
            <w:tcBorders>
              <w:right w:val="single" w:sz="12" w:space="0" w:color="auto"/>
            </w:tcBorders>
            <w:hideMark/>
          </w:tcPr>
          <w:p w:rsidR="002037D9" w:rsidRPr="00BA64C3" w:rsidRDefault="002037D9" w:rsidP="001B4509">
            <w:pPr>
              <w:spacing w:before="0" w:after="0"/>
              <w:rPr>
                <w:rFonts w:asciiTheme="minorHAnsi" w:hAnsiTheme="minorHAnsi" w:cs="Arial"/>
                <w:b/>
                <w:bCs/>
                <w:sz w:val="24"/>
                <w:szCs w:val="24"/>
              </w:rPr>
            </w:pPr>
          </w:p>
        </w:tc>
        <w:tc>
          <w:tcPr>
            <w:tcW w:w="900" w:type="dxa"/>
            <w:tcBorders>
              <w:left w:val="single" w:sz="12" w:space="0" w:color="auto"/>
            </w:tcBorders>
            <w:shd w:val="clear" w:color="auto" w:fill="003865" w:themeFill="accent1"/>
            <w:hideMark/>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c>
          <w:tcPr>
            <w:tcW w:w="1260" w:type="dxa"/>
            <w:shd w:val="clear" w:color="auto" w:fill="78BE21" w:themeFill="accent2"/>
            <w:hideMark/>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MN Actual</w:t>
            </w:r>
          </w:p>
        </w:tc>
        <w:tc>
          <w:tcPr>
            <w:tcW w:w="1350" w:type="dxa"/>
            <w:tcBorders>
              <w:right w:val="single" w:sz="12" w:space="0" w:color="auto"/>
            </w:tcBorders>
            <w:shd w:val="clear" w:color="auto" w:fill="8D3F2B" w:themeFill="accent4"/>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U.S. Actual</w:t>
            </w:r>
          </w:p>
        </w:tc>
        <w:tc>
          <w:tcPr>
            <w:tcW w:w="1440" w:type="dxa"/>
            <w:tcBorders>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c>
          <w:tcPr>
            <w:tcW w:w="1440" w:type="dxa"/>
            <w:tcBorders>
              <w:left w:val="single" w:sz="12" w:space="0" w:color="auto"/>
              <w:right w:val="single" w:sz="12" w:space="0" w:color="auto"/>
            </w:tcBorders>
            <w:shd w:val="clear" w:color="auto" w:fill="003865" w:themeFill="accent1"/>
          </w:tcPr>
          <w:p w:rsidR="002037D9" w:rsidRPr="00BA64C3" w:rsidRDefault="002037D9" w:rsidP="001B4509">
            <w:pPr>
              <w:spacing w:before="0" w:after="0"/>
              <w:jc w:val="center"/>
              <w:rPr>
                <w:rFonts w:asciiTheme="minorHAnsi" w:hAnsiTheme="minorHAnsi" w:cs="Arial"/>
                <w:color w:val="FFFFFF" w:themeColor="background1"/>
                <w:sz w:val="24"/>
                <w:szCs w:val="24"/>
              </w:rPr>
            </w:pPr>
            <w:r w:rsidRPr="00BA64C3">
              <w:rPr>
                <w:rFonts w:asciiTheme="minorHAnsi" w:hAnsiTheme="minorHAnsi" w:cs="Arial"/>
                <w:color w:val="FFFFFF" w:themeColor="background1"/>
                <w:sz w:val="24"/>
                <w:szCs w:val="24"/>
              </w:rPr>
              <w:t>Target</w:t>
            </w:r>
          </w:p>
        </w:tc>
      </w:tr>
      <w:tr w:rsidR="00EE4671" w:rsidRPr="00BA64C3" w:rsidTr="00EE4671">
        <w:trPr>
          <w:trHeight w:val="271"/>
        </w:trPr>
        <w:tc>
          <w:tcPr>
            <w:tcW w:w="4040" w:type="dxa"/>
            <w:tcBorders>
              <w:right w:val="single" w:sz="12" w:space="0" w:color="auto"/>
            </w:tcBorders>
            <w:shd w:val="clear" w:color="auto" w:fill="EFD3CC" w:themeFill="accent4" w:themeFillTint="33"/>
          </w:tcPr>
          <w:p w:rsidR="00EE4671" w:rsidRPr="00BA64C3" w:rsidRDefault="00EE4671" w:rsidP="001B4509">
            <w:pPr>
              <w:spacing w:before="0" w:after="0"/>
              <w:rPr>
                <w:rFonts w:asciiTheme="minorHAnsi" w:hAnsiTheme="minorHAnsi" w:cs="Arial"/>
                <w:b/>
                <w:bCs/>
                <w:i/>
                <w:iCs/>
                <w:color w:val="4F6228"/>
                <w:sz w:val="24"/>
                <w:szCs w:val="24"/>
              </w:rPr>
            </w:pPr>
            <w:r>
              <w:rPr>
                <w:rFonts w:asciiTheme="minorHAnsi" w:hAnsiTheme="minorHAnsi" w:cs="Arial"/>
                <w:b/>
                <w:bCs/>
                <w:i/>
                <w:iCs/>
                <w:color w:val="4F6228"/>
                <w:sz w:val="24"/>
                <w:szCs w:val="24"/>
              </w:rPr>
              <w:t>All ABE Levels</w:t>
            </w:r>
          </w:p>
        </w:tc>
        <w:tc>
          <w:tcPr>
            <w:tcW w:w="900" w:type="dxa"/>
            <w:tcBorders>
              <w:left w:val="single" w:sz="12" w:space="0" w:color="auto"/>
            </w:tcBorders>
            <w:shd w:val="clear" w:color="auto" w:fill="EFD3CC" w:themeFill="accent4" w:themeFillTint="33"/>
            <w:noWrap/>
          </w:tcPr>
          <w:p w:rsidR="00EE4671" w:rsidRPr="00BA64C3" w:rsidRDefault="00EE4671" w:rsidP="001B4509">
            <w:pPr>
              <w:spacing w:before="0" w:after="0"/>
              <w:jc w:val="center"/>
              <w:rPr>
                <w:rFonts w:asciiTheme="minorHAnsi" w:hAnsiTheme="minorHAnsi" w:cs="Arial"/>
                <w:i/>
                <w:sz w:val="24"/>
                <w:szCs w:val="24"/>
              </w:rPr>
            </w:pPr>
          </w:p>
        </w:tc>
        <w:tc>
          <w:tcPr>
            <w:tcW w:w="1260" w:type="dxa"/>
            <w:shd w:val="clear" w:color="auto" w:fill="EFD3CC" w:themeFill="accent4" w:themeFillTint="33"/>
            <w:noWrap/>
          </w:tcPr>
          <w:p w:rsidR="00EE4671" w:rsidRPr="00BA64C3" w:rsidRDefault="00EE4671" w:rsidP="001B4509">
            <w:pPr>
              <w:spacing w:before="0" w:after="0"/>
              <w:jc w:val="center"/>
              <w:rPr>
                <w:rFonts w:asciiTheme="minorHAnsi" w:hAnsiTheme="minorHAnsi" w:cs="Arial"/>
                <w:sz w:val="24"/>
                <w:szCs w:val="24"/>
              </w:rPr>
            </w:pPr>
          </w:p>
        </w:tc>
        <w:tc>
          <w:tcPr>
            <w:tcW w:w="1350" w:type="dxa"/>
            <w:tcBorders>
              <w:right w:val="single" w:sz="12" w:space="0" w:color="auto"/>
            </w:tcBorders>
            <w:shd w:val="clear" w:color="auto" w:fill="EFD3CC" w:themeFill="accent4" w:themeFillTint="33"/>
          </w:tcPr>
          <w:p w:rsidR="00EE4671" w:rsidRPr="00BA64C3" w:rsidRDefault="00EE4671" w:rsidP="001B4509">
            <w:pPr>
              <w:pStyle w:val="NormalWeb"/>
              <w:spacing w:before="0" w:after="0"/>
              <w:jc w:val="center"/>
              <w:rPr>
                <w:rFonts w:asciiTheme="minorHAnsi" w:hAnsiTheme="minorHAnsi" w:cs="Arial"/>
                <w:bCs/>
                <w:kern w:val="24"/>
              </w:rPr>
            </w:pPr>
          </w:p>
        </w:tc>
        <w:tc>
          <w:tcPr>
            <w:tcW w:w="1440" w:type="dxa"/>
            <w:tcBorders>
              <w:left w:val="single" w:sz="12" w:space="0" w:color="auto"/>
              <w:right w:val="single" w:sz="12" w:space="0" w:color="auto"/>
            </w:tcBorders>
            <w:shd w:val="clear" w:color="auto" w:fill="EFD3CC" w:themeFill="accent4" w:themeFillTint="33"/>
          </w:tcPr>
          <w:p w:rsidR="00EE4671" w:rsidRPr="00BA64C3" w:rsidRDefault="00EE4671" w:rsidP="001B4509">
            <w:pPr>
              <w:spacing w:before="0" w:after="0"/>
              <w:jc w:val="center"/>
              <w:rPr>
                <w:rFonts w:asciiTheme="minorHAnsi" w:hAnsiTheme="minorHAnsi" w:cs="Arial"/>
                <w:b/>
                <w:sz w:val="24"/>
                <w:szCs w:val="24"/>
              </w:rPr>
            </w:pPr>
            <w:r>
              <w:rPr>
                <w:rFonts w:asciiTheme="minorHAnsi" w:hAnsiTheme="minorHAnsi" w:cs="Arial"/>
                <w:b/>
                <w:sz w:val="24"/>
                <w:szCs w:val="24"/>
              </w:rPr>
              <w:t>43%*</w:t>
            </w:r>
          </w:p>
        </w:tc>
        <w:tc>
          <w:tcPr>
            <w:tcW w:w="1440" w:type="dxa"/>
            <w:tcBorders>
              <w:left w:val="single" w:sz="12" w:space="0" w:color="auto"/>
              <w:right w:val="single" w:sz="12" w:space="0" w:color="auto"/>
            </w:tcBorders>
            <w:shd w:val="clear" w:color="auto" w:fill="EFD3CC" w:themeFill="accent4" w:themeFillTint="33"/>
          </w:tcPr>
          <w:p w:rsidR="00EE4671" w:rsidRPr="00BA64C3" w:rsidRDefault="00EE4671" w:rsidP="001B4509">
            <w:pPr>
              <w:spacing w:before="0" w:after="0"/>
              <w:jc w:val="center"/>
              <w:rPr>
                <w:rFonts w:asciiTheme="minorHAnsi" w:hAnsiTheme="minorHAnsi" w:cs="Arial"/>
                <w:b/>
                <w:sz w:val="24"/>
                <w:szCs w:val="24"/>
              </w:rPr>
            </w:pPr>
            <w:r>
              <w:rPr>
                <w:rFonts w:asciiTheme="minorHAnsi" w:hAnsiTheme="minorHAnsi" w:cs="Arial"/>
                <w:b/>
                <w:sz w:val="24"/>
                <w:szCs w:val="24"/>
              </w:rPr>
              <w:t>44%*</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1:  ABE Beginning Literacy</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78</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60</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bCs/>
                <w:kern w:val="24"/>
              </w:rPr>
              <w:t>48</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61</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61</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2:  ABE Beginning Basic Education</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67</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48</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45</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48</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48</w:t>
            </w:r>
          </w:p>
        </w:tc>
      </w:tr>
      <w:tr w:rsidR="002037D9" w:rsidRPr="00BA64C3" w:rsidTr="001B4509">
        <w:trPr>
          <w:trHeight w:val="262"/>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3:  ABE Intermediate Low</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50</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41</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43</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43</w:t>
            </w:r>
          </w:p>
        </w:tc>
      </w:tr>
      <w:tr w:rsidR="002037D9" w:rsidRPr="00BA64C3" w:rsidTr="001B4509">
        <w:trPr>
          <w:trHeight w:val="163"/>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4:  ABE Intermediate High</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34</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37</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40</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41</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5:  Low Adult Secondary</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26</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29</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52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46</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52</w:t>
            </w:r>
          </w:p>
        </w:tc>
      </w:tr>
      <w:tr w:rsidR="002037D9" w:rsidRPr="00BA64C3" w:rsidTr="001B4509">
        <w:trPr>
          <w:trHeight w:val="271"/>
        </w:trPr>
        <w:tc>
          <w:tcPr>
            <w:tcW w:w="4040" w:type="dxa"/>
            <w:tcBorders>
              <w:right w:val="single" w:sz="12" w:space="0" w:color="auto"/>
            </w:tcBorders>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ABE 6:  High Adult Secondary</w:t>
            </w:r>
          </w:p>
        </w:tc>
        <w:tc>
          <w:tcPr>
            <w:tcW w:w="900" w:type="dxa"/>
            <w:tcBorders>
              <w:left w:val="single" w:sz="12" w:space="0" w:color="auto"/>
            </w:tcBorders>
            <w:noWrap/>
          </w:tcPr>
          <w:p w:rsidR="002037D9" w:rsidRPr="00EE4671" w:rsidRDefault="002037D9" w:rsidP="001B4509">
            <w:pPr>
              <w:spacing w:before="0" w:after="0"/>
              <w:jc w:val="center"/>
              <w:rPr>
                <w:rFonts w:asciiTheme="minorHAnsi" w:hAnsiTheme="minorHAnsi" w:cs="Arial"/>
                <w:sz w:val="24"/>
                <w:szCs w:val="24"/>
              </w:rPr>
            </w:pPr>
            <w:r w:rsidRPr="00EE4671">
              <w:rPr>
                <w:rFonts w:asciiTheme="minorHAnsi" w:hAnsiTheme="minorHAnsi" w:cs="Arial"/>
                <w:sz w:val="24"/>
                <w:szCs w:val="24"/>
              </w:rPr>
              <w:t>N/A**</w:t>
            </w:r>
          </w:p>
        </w:tc>
        <w:tc>
          <w:tcPr>
            <w:tcW w:w="1260" w:type="dxa"/>
            <w:noWrap/>
          </w:tcPr>
          <w:p w:rsidR="002037D9" w:rsidRPr="00EE4671" w:rsidRDefault="002037D9" w:rsidP="001B4509">
            <w:pPr>
              <w:spacing w:before="0" w:after="0"/>
              <w:jc w:val="center"/>
              <w:rPr>
                <w:rFonts w:asciiTheme="minorHAnsi" w:hAnsiTheme="minorHAnsi" w:cs="Arial"/>
                <w:sz w:val="24"/>
                <w:szCs w:val="24"/>
              </w:rPr>
            </w:pPr>
            <w:r w:rsidRPr="00EE4671">
              <w:rPr>
                <w:rFonts w:asciiTheme="minorHAnsi" w:hAnsiTheme="minorHAnsi" w:cs="Arial"/>
                <w:sz w:val="24"/>
                <w:szCs w:val="24"/>
              </w:rPr>
              <w:t>28</w:t>
            </w:r>
          </w:p>
        </w:tc>
        <w:tc>
          <w:tcPr>
            <w:tcW w:w="1350" w:type="dxa"/>
            <w:tcBorders>
              <w:right w:val="single" w:sz="12" w:space="0" w:color="auto"/>
            </w:tcBorders>
          </w:tcPr>
          <w:p w:rsidR="002037D9" w:rsidRPr="00EE4671" w:rsidRDefault="002037D9" w:rsidP="001B4509">
            <w:pPr>
              <w:pStyle w:val="NormalWeb"/>
              <w:spacing w:before="0" w:after="0"/>
              <w:jc w:val="center"/>
              <w:rPr>
                <w:rFonts w:asciiTheme="minorHAnsi" w:hAnsiTheme="minorHAnsi" w:cs="Arial"/>
              </w:rPr>
            </w:pPr>
            <w:r w:rsidRPr="00EE4671">
              <w:rPr>
                <w:rFonts w:asciiTheme="minorHAnsi" w:hAnsiTheme="minorHAnsi" w:cs="Arial"/>
                <w:kern w:val="24"/>
              </w:rPr>
              <w:t>42</w:t>
            </w:r>
          </w:p>
        </w:tc>
        <w:tc>
          <w:tcPr>
            <w:tcW w:w="1440" w:type="dxa"/>
            <w:tcBorders>
              <w:left w:val="single" w:sz="12" w:space="0" w:color="auto"/>
              <w:right w:val="single" w:sz="12" w:space="0" w:color="auto"/>
            </w:tcBorders>
          </w:tcPr>
          <w:p w:rsidR="002037D9" w:rsidRPr="00EE4671" w:rsidRDefault="002037D9" w:rsidP="001B4509">
            <w:pPr>
              <w:spacing w:before="0" w:after="0"/>
              <w:jc w:val="center"/>
              <w:rPr>
                <w:rFonts w:asciiTheme="minorHAnsi" w:hAnsiTheme="minorHAnsi" w:cs="Arial"/>
                <w:b/>
                <w:sz w:val="24"/>
                <w:szCs w:val="24"/>
              </w:rPr>
            </w:pPr>
            <w:r w:rsidRPr="00EE4671">
              <w:rPr>
                <w:rFonts w:asciiTheme="minorHAnsi" w:hAnsiTheme="minorHAnsi" w:cs="Arial"/>
                <w:b/>
                <w:sz w:val="24"/>
                <w:szCs w:val="24"/>
              </w:rPr>
              <w:t>36**</w:t>
            </w:r>
          </w:p>
        </w:tc>
        <w:tc>
          <w:tcPr>
            <w:tcW w:w="1440" w:type="dxa"/>
            <w:tcBorders>
              <w:left w:val="single" w:sz="12" w:space="0" w:color="auto"/>
              <w:right w:val="single" w:sz="12" w:space="0" w:color="auto"/>
            </w:tcBorders>
          </w:tcPr>
          <w:p w:rsidR="002037D9" w:rsidRPr="00EE4671" w:rsidRDefault="002037D9" w:rsidP="001B4509">
            <w:pPr>
              <w:spacing w:before="0" w:after="0"/>
              <w:jc w:val="center"/>
              <w:rPr>
                <w:rFonts w:asciiTheme="minorHAnsi" w:hAnsiTheme="minorHAnsi" w:cs="Arial"/>
                <w:b/>
                <w:sz w:val="24"/>
                <w:szCs w:val="24"/>
              </w:rPr>
            </w:pPr>
            <w:r w:rsidRPr="00EE4671">
              <w:rPr>
                <w:rFonts w:asciiTheme="minorHAnsi" w:hAnsiTheme="minorHAnsi" w:cs="Arial"/>
                <w:b/>
                <w:sz w:val="24"/>
                <w:szCs w:val="24"/>
              </w:rPr>
              <w:t>42</w:t>
            </w:r>
            <w:r w:rsidR="00EE4671" w:rsidRPr="00EE4671">
              <w:rPr>
                <w:rFonts w:asciiTheme="minorHAnsi" w:hAnsiTheme="minorHAnsi" w:cs="Arial"/>
                <w:b/>
                <w:sz w:val="24"/>
                <w:szCs w:val="24"/>
              </w:rPr>
              <w:t>%</w:t>
            </w:r>
            <w:r w:rsidRPr="00EE4671">
              <w:rPr>
                <w:rFonts w:asciiTheme="minorHAnsi" w:hAnsiTheme="minorHAnsi" w:cs="Arial"/>
                <w:b/>
                <w:sz w:val="24"/>
                <w:szCs w:val="24"/>
              </w:rPr>
              <w:t>**</w:t>
            </w:r>
          </w:p>
        </w:tc>
      </w:tr>
      <w:tr w:rsidR="00EE4671" w:rsidRPr="00BA64C3" w:rsidTr="00EE4671">
        <w:trPr>
          <w:trHeight w:val="271"/>
        </w:trPr>
        <w:tc>
          <w:tcPr>
            <w:tcW w:w="4040" w:type="dxa"/>
            <w:tcBorders>
              <w:right w:val="single" w:sz="12" w:space="0" w:color="auto"/>
            </w:tcBorders>
            <w:shd w:val="clear" w:color="auto" w:fill="EFD3CC" w:themeFill="accent4" w:themeFillTint="33"/>
          </w:tcPr>
          <w:p w:rsidR="00EE4671" w:rsidRPr="00BA64C3" w:rsidRDefault="00EE4671" w:rsidP="001B4509">
            <w:pPr>
              <w:spacing w:before="0" w:after="0"/>
              <w:rPr>
                <w:rFonts w:asciiTheme="minorHAnsi" w:hAnsiTheme="minorHAnsi" w:cs="Arial"/>
                <w:b/>
                <w:bCs/>
                <w:i/>
                <w:iCs/>
                <w:color w:val="4F6228"/>
                <w:sz w:val="24"/>
                <w:szCs w:val="24"/>
              </w:rPr>
            </w:pPr>
            <w:r>
              <w:rPr>
                <w:rFonts w:asciiTheme="minorHAnsi" w:hAnsiTheme="minorHAnsi" w:cs="Arial"/>
                <w:b/>
                <w:bCs/>
                <w:i/>
                <w:iCs/>
                <w:color w:val="4F6228"/>
                <w:sz w:val="24"/>
                <w:szCs w:val="24"/>
              </w:rPr>
              <w:t>All ESL Levels</w:t>
            </w:r>
          </w:p>
        </w:tc>
        <w:tc>
          <w:tcPr>
            <w:tcW w:w="900" w:type="dxa"/>
            <w:tcBorders>
              <w:left w:val="single" w:sz="12" w:space="0" w:color="auto"/>
            </w:tcBorders>
            <w:shd w:val="clear" w:color="auto" w:fill="EFD3CC" w:themeFill="accent4" w:themeFillTint="33"/>
            <w:noWrap/>
          </w:tcPr>
          <w:p w:rsidR="00EE4671" w:rsidRPr="00EE4671" w:rsidRDefault="00EE4671" w:rsidP="001B4509">
            <w:pPr>
              <w:spacing w:before="0" w:after="0"/>
              <w:jc w:val="center"/>
              <w:rPr>
                <w:rFonts w:asciiTheme="minorHAnsi" w:hAnsiTheme="minorHAnsi" w:cs="Arial"/>
                <w:sz w:val="24"/>
                <w:szCs w:val="24"/>
              </w:rPr>
            </w:pPr>
            <w:r w:rsidRPr="00EE4671">
              <w:rPr>
                <w:rFonts w:asciiTheme="minorHAnsi" w:hAnsiTheme="minorHAnsi" w:cs="Arial"/>
                <w:sz w:val="24"/>
                <w:szCs w:val="24"/>
              </w:rPr>
              <w:t>N/A</w:t>
            </w:r>
            <w:r>
              <w:rPr>
                <w:rFonts w:asciiTheme="minorHAnsi" w:hAnsiTheme="minorHAnsi" w:cs="Arial"/>
                <w:sz w:val="24"/>
                <w:szCs w:val="24"/>
              </w:rPr>
              <w:t>*</w:t>
            </w:r>
          </w:p>
        </w:tc>
        <w:tc>
          <w:tcPr>
            <w:tcW w:w="1260" w:type="dxa"/>
            <w:shd w:val="clear" w:color="auto" w:fill="EFD3CC" w:themeFill="accent4" w:themeFillTint="33"/>
            <w:noWrap/>
          </w:tcPr>
          <w:p w:rsidR="00EE4671" w:rsidRPr="00EE4671" w:rsidRDefault="00EE4671" w:rsidP="001B4509">
            <w:pPr>
              <w:spacing w:before="0" w:after="0"/>
              <w:jc w:val="center"/>
              <w:rPr>
                <w:rFonts w:asciiTheme="minorHAnsi" w:hAnsiTheme="minorHAnsi" w:cs="Arial"/>
                <w:sz w:val="24"/>
                <w:szCs w:val="24"/>
              </w:rPr>
            </w:pPr>
          </w:p>
        </w:tc>
        <w:tc>
          <w:tcPr>
            <w:tcW w:w="1350" w:type="dxa"/>
            <w:tcBorders>
              <w:right w:val="single" w:sz="12" w:space="0" w:color="auto"/>
            </w:tcBorders>
            <w:shd w:val="clear" w:color="auto" w:fill="EFD3CC" w:themeFill="accent4" w:themeFillTint="33"/>
          </w:tcPr>
          <w:p w:rsidR="00EE4671" w:rsidRPr="00EE4671" w:rsidRDefault="00EE4671" w:rsidP="001B4509">
            <w:pPr>
              <w:pStyle w:val="NormalWeb"/>
              <w:spacing w:before="0" w:after="0"/>
              <w:jc w:val="center"/>
              <w:rPr>
                <w:rFonts w:asciiTheme="minorHAnsi" w:hAnsiTheme="minorHAnsi" w:cs="Arial"/>
                <w:kern w:val="24"/>
              </w:rPr>
            </w:pPr>
          </w:p>
        </w:tc>
        <w:tc>
          <w:tcPr>
            <w:tcW w:w="1440" w:type="dxa"/>
            <w:tcBorders>
              <w:left w:val="single" w:sz="12" w:space="0" w:color="auto"/>
              <w:right w:val="single" w:sz="12" w:space="0" w:color="auto"/>
            </w:tcBorders>
            <w:shd w:val="clear" w:color="auto" w:fill="EFD3CC" w:themeFill="accent4" w:themeFillTint="33"/>
          </w:tcPr>
          <w:p w:rsidR="00EE4671" w:rsidRPr="00EE4671" w:rsidRDefault="00EE4671" w:rsidP="001B4509">
            <w:pPr>
              <w:spacing w:before="0" w:after="0"/>
              <w:jc w:val="center"/>
              <w:rPr>
                <w:rFonts w:asciiTheme="minorHAnsi" w:hAnsiTheme="minorHAnsi" w:cs="Arial"/>
                <w:b/>
                <w:sz w:val="24"/>
                <w:szCs w:val="24"/>
              </w:rPr>
            </w:pPr>
            <w:r w:rsidRPr="00EE4671">
              <w:rPr>
                <w:rFonts w:asciiTheme="minorHAnsi" w:hAnsiTheme="minorHAnsi" w:cs="Arial"/>
                <w:b/>
                <w:sz w:val="24"/>
                <w:szCs w:val="24"/>
              </w:rPr>
              <w:t>43</w:t>
            </w:r>
            <w:r>
              <w:rPr>
                <w:rFonts w:asciiTheme="minorHAnsi" w:hAnsiTheme="minorHAnsi" w:cs="Arial"/>
                <w:b/>
                <w:sz w:val="24"/>
                <w:szCs w:val="24"/>
              </w:rPr>
              <w:t>%</w:t>
            </w:r>
            <w:r w:rsidRPr="00EE4671">
              <w:rPr>
                <w:rFonts w:asciiTheme="minorHAnsi" w:hAnsiTheme="minorHAnsi" w:cs="Arial"/>
                <w:b/>
                <w:sz w:val="24"/>
                <w:szCs w:val="24"/>
              </w:rPr>
              <w:t>*</w:t>
            </w:r>
          </w:p>
        </w:tc>
        <w:tc>
          <w:tcPr>
            <w:tcW w:w="1440" w:type="dxa"/>
            <w:tcBorders>
              <w:left w:val="single" w:sz="12" w:space="0" w:color="auto"/>
              <w:right w:val="single" w:sz="12" w:space="0" w:color="auto"/>
            </w:tcBorders>
            <w:shd w:val="clear" w:color="auto" w:fill="EFD3CC" w:themeFill="accent4" w:themeFillTint="33"/>
          </w:tcPr>
          <w:p w:rsidR="00EE4671" w:rsidRPr="00EE4671" w:rsidRDefault="00EE4671" w:rsidP="001B4509">
            <w:pPr>
              <w:spacing w:before="0" w:after="0"/>
              <w:jc w:val="center"/>
              <w:rPr>
                <w:rFonts w:asciiTheme="minorHAnsi" w:hAnsiTheme="minorHAnsi" w:cs="Arial"/>
                <w:b/>
                <w:sz w:val="24"/>
                <w:szCs w:val="24"/>
              </w:rPr>
            </w:pPr>
            <w:r w:rsidRPr="00EE4671">
              <w:rPr>
                <w:rFonts w:asciiTheme="minorHAnsi" w:hAnsiTheme="minorHAnsi" w:cs="Arial"/>
                <w:b/>
                <w:sz w:val="24"/>
                <w:szCs w:val="24"/>
              </w:rPr>
              <w:t>44%*</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1:  ESL Beginning Literacy</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48</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45</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44</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2:  ESL Beginning Low</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58</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56</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50</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56</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56</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 xml:space="preserve">ESL 3:  ESL Beginning High </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51</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46</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50</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47</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51</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4:  ESL Intermediate Low</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39</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39</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45</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42</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45</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5:  ESL Intermediate High</w:t>
            </w:r>
          </w:p>
        </w:tc>
        <w:tc>
          <w:tcPr>
            <w:tcW w:w="900" w:type="dxa"/>
            <w:tcBorders>
              <w:left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35</w:t>
            </w:r>
          </w:p>
        </w:tc>
        <w:tc>
          <w:tcPr>
            <w:tcW w:w="1260" w:type="dxa"/>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35</w:t>
            </w:r>
          </w:p>
        </w:tc>
        <w:tc>
          <w:tcPr>
            <w:tcW w:w="1350" w:type="dxa"/>
            <w:tcBorders>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39</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37</w:t>
            </w:r>
          </w:p>
        </w:tc>
        <w:tc>
          <w:tcPr>
            <w:tcW w:w="1440" w:type="dxa"/>
            <w:tcBorders>
              <w:left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37</w:t>
            </w:r>
          </w:p>
        </w:tc>
      </w:tr>
      <w:tr w:rsidR="002037D9" w:rsidRPr="00BA64C3" w:rsidTr="001B4509">
        <w:trPr>
          <w:trHeight w:val="271"/>
        </w:trPr>
        <w:tc>
          <w:tcPr>
            <w:tcW w:w="4040" w:type="dxa"/>
            <w:tcBorders>
              <w:right w:val="single" w:sz="12" w:space="0" w:color="auto"/>
            </w:tcBorders>
            <w:hideMark/>
          </w:tcPr>
          <w:p w:rsidR="002037D9" w:rsidRPr="00BA64C3" w:rsidRDefault="002037D9" w:rsidP="001B4509">
            <w:pPr>
              <w:spacing w:before="0" w:after="0"/>
              <w:rPr>
                <w:rFonts w:asciiTheme="minorHAnsi" w:hAnsiTheme="minorHAnsi" w:cs="Arial"/>
                <w:b/>
                <w:bCs/>
                <w:i/>
                <w:iCs/>
                <w:color w:val="4F6228"/>
                <w:sz w:val="24"/>
                <w:szCs w:val="24"/>
              </w:rPr>
            </w:pPr>
            <w:r w:rsidRPr="00BA64C3">
              <w:rPr>
                <w:rFonts w:asciiTheme="minorHAnsi" w:hAnsiTheme="minorHAnsi" w:cs="Arial"/>
                <w:b/>
                <w:bCs/>
                <w:i/>
                <w:iCs/>
                <w:color w:val="4F6228"/>
                <w:sz w:val="24"/>
                <w:szCs w:val="24"/>
              </w:rPr>
              <w:t>ESL 6:  ESL Advanced</w:t>
            </w:r>
          </w:p>
        </w:tc>
        <w:tc>
          <w:tcPr>
            <w:tcW w:w="900" w:type="dxa"/>
            <w:tcBorders>
              <w:left w:val="single" w:sz="12" w:space="0" w:color="auto"/>
              <w:bottom w:val="single" w:sz="12" w:space="0" w:color="auto"/>
            </w:tcBorders>
            <w:noWrap/>
            <w:hideMark/>
          </w:tcPr>
          <w:p w:rsidR="002037D9" w:rsidRPr="00BA64C3" w:rsidRDefault="002037D9" w:rsidP="001B4509">
            <w:pPr>
              <w:spacing w:before="0" w:after="0"/>
              <w:jc w:val="center"/>
              <w:rPr>
                <w:rFonts w:asciiTheme="minorHAnsi" w:hAnsiTheme="minorHAnsi" w:cs="Arial"/>
                <w:i/>
                <w:sz w:val="24"/>
                <w:szCs w:val="24"/>
              </w:rPr>
            </w:pPr>
            <w:r w:rsidRPr="00BA64C3">
              <w:rPr>
                <w:rFonts w:asciiTheme="minorHAnsi" w:hAnsiTheme="minorHAnsi" w:cs="Arial"/>
                <w:i/>
                <w:sz w:val="24"/>
                <w:szCs w:val="24"/>
              </w:rPr>
              <w:t>16</w:t>
            </w:r>
          </w:p>
        </w:tc>
        <w:tc>
          <w:tcPr>
            <w:tcW w:w="1260" w:type="dxa"/>
            <w:tcBorders>
              <w:bottom w:val="single" w:sz="12" w:space="0" w:color="auto"/>
            </w:tcBorders>
            <w:noWrap/>
            <w:hideMark/>
          </w:tcPr>
          <w:p w:rsidR="002037D9" w:rsidRPr="00BA64C3" w:rsidRDefault="002037D9" w:rsidP="001B4509">
            <w:pPr>
              <w:spacing w:before="0" w:after="0"/>
              <w:jc w:val="center"/>
              <w:rPr>
                <w:rFonts w:asciiTheme="minorHAnsi" w:hAnsiTheme="minorHAnsi" w:cs="Arial"/>
                <w:sz w:val="24"/>
                <w:szCs w:val="24"/>
              </w:rPr>
            </w:pPr>
            <w:r w:rsidRPr="00BA64C3">
              <w:rPr>
                <w:rFonts w:asciiTheme="minorHAnsi" w:hAnsiTheme="minorHAnsi" w:cs="Arial"/>
                <w:sz w:val="24"/>
                <w:szCs w:val="24"/>
              </w:rPr>
              <w:t>23</w:t>
            </w:r>
          </w:p>
        </w:tc>
        <w:tc>
          <w:tcPr>
            <w:tcW w:w="1350" w:type="dxa"/>
            <w:tcBorders>
              <w:bottom w:val="single" w:sz="12" w:space="0" w:color="auto"/>
              <w:right w:val="single" w:sz="12" w:space="0" w:color="auto"/>
            </w:tcBorders>
          </w:tcPr>
          <w:p w:rsidR="002037D9" w:rsidRPr="00BA64C3" w:rsidRDefault="002037D9" w:rsidP="001B4509">
            <w:pPr>
              <w:pStyle w:val="NormalWeb"/>
              <w:spacing w:before="0" w:after="0"/>
              <w:jc w:val="center"/>
              <w:rPr>
                <w:rFonts w:asciiTheme="minorHAnsi" w:hAnsiTheme="minorHAnsi" w:cs="Arial"/>
              </w:rPr>
            </w:pPr>
            <w:r w:rsidRPr="00BA64C3">
              <w:rPr>
                <w:rFonts w:asciiTheme="minorHAnsi" w:hAnsiTheme="minorHAnsi" w:cs="Arial"/>
                <w:kern w:val="24"/>
              </w:rPr>
              <w:t>24</w:t>
            </w:r>
          </w:p>
        </w:tc>
        <w:tc>
          <w:tcPr>
            <w:tcW w:w="1440" w:type="dxa"/>
            <w:tcBorders>
              <w:left w:val="single" w:sz="12" w:space="0" w:color="auto"/>
              <w:bottom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25</w:t>
            </w:r>
          </w:p>
        </w:tc>
        <w:tc>
          <w:tcPr>
            <w:tcW w:w="1440" w:type="dxa"/>
            <w:tcBorders>
              <w:left w:val="single" w:sz="12" w:space="0" w:color="auto"/>
              <w:bottom w:val="single" w:sz="12" w:space="0" w:color="auto"/>
              <w:right w:val="single" w:sz="12" w:space="0" w:color="auto"/>
            </w:tcBorders>
          </w:tcPr>
          <w:p w:rsidR="002037D9" w:rsidRPr="00BA64C3" w:rsidRDefault="002037D9" w:rsidP="001B4509">
            <w:pPr>
              <w:spacing w:before="0" w:after="0"/>
              <w:jc w:val="center"/>
              <w:rPr>
                <w:rFonts w:asciiTheme="minorHAnsi" w:hAnsiTheme="minorHAnsi" w:cs="Arial"/>
                <w:b/>
                <w:sz w:val="24"/>
                <w:szCs w:val="24"/>
              </w:rPr>
            </w:pPr>
            <w:r w:rsidRPr="00BA64C3">
              <w:rPr>
                <w:rFonts w:asciiTheme="minorHAnsi" w:hAnsiTheme="minorHAnsi" w:cs="Arial"/>
                <w:b/>
                <w:sz w:val="24"/>
                <w:szCs w:val="24"/>
              </w:rPr>
              <w:t>26</w:t>
            </w:r>
          </w:p>
        </w:tc>
      </w:tr>
    </w:tbl>
    <w:p w:rsidR="002037D9" w:rsidRPr="00BA64C3" w:rsidRDefault="002037D9" w:rsidP="002037D9">
      <w:pPr>
        <w:spacing w:before="0" w:after="160" w:line="259" w:lineRule="auto"/>
        <w:rPr>
          <w:rFonts w:asciiTheme="minorHAnsi" w:hAnsiTheme="minorHAnsi" w:cs="Arial"/>
          <w:b/>
          <w:bCs/>
          <w:color w:val="000000"/>
          <w:sz w:val="24"/>
          <w:szCs w:val="24"/>
        </w:rPr>
      </w:pPr>
    </w:p>
    <w:p w:rsidR="002037D9" w:rsidRPr="00BA64C3" w:rsidRDefault="002037D9" w:rsidP="002037D9">
      <w:pPr>
        <w:spacing w:before="0" w:after="160" w:line="259" w:lineRule="auto"/>
        <w:rPr>
          <w:rFonts w:asciiTheme="minorHAnsi" w:hAnsiTheme="minorHAnsi"/>
        </w:rPr>
      </w:pPr>
      <w:r w:rsidRPr="00BA64C3">
        <w:rPr>
          <w:rFonts w:asciiTheme="minorHAnsi" w:hAnsiTheme="minorHAnsi"/>
        </w:rPr>
        <w:t>* Starting with the 2016-2017 data, ABE data is slowly evolving to adhere to the new WIOA accountability system, which is slightly different than previous data measures. Full WIOA accountability expectations will be implemented by 2020.</w:t>
      </w:r>
    </w:p>
    <w:p w:rsidR="00547E68" w:rsidRPr="002037D9" w:rsidRDefault="002037D9" w:rsidP="002037D9">
      <w:pPr>
        <w:spacing w:before="0" w:after="160" w:line="259" w:lineRule="auto"/>
        <w:rPr>
          <w:rFonts w:asciiTheme="minorHAnsi" w:hAnsiTheme="minorHAnsi"/>
        </w:rPr>
      </w:pPr>
      <w:r w:rsidRPr="00BA64C3">
        <w:rPr>
          <w:rFonts w:asciiTheme="minorHAnsi" w:hAnsiTheme="minorHAnsi"/>
        </w:rPr>
        <w:t>**For ABE 6, the only way to earn a measurable skill gain is through completion of a high school or equivalency diploma or to exit ABE and enter postsecondary education and training.</w:t>
      </w:r>
    </w:p>
    <w:sectPr w:rsidR="00547E68" w:rsidRPr="002037D9"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CE7" w:rsidRDefault="00D65CE7" w:rsidP="00D91FF4">
      <w:r>
        <w:separator/>
      </w:r>
    </w:p>
  </w:endnote>
  <w:endnote w:type="continuationSeparator" w:id="0">
    <w:p w:rsidR="00D65CE7" w:rsidRDefault="00D65CE7"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Default="0078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CE7" w:rsidRDefault="00D65CE7" w:rsidP="00D91FF4">
      <w:r>
        <w:separator/>
      </w:r>
    </w:p>
  </w:footnote>
  <w:footnote w:type="continuationSeparator" w:id="0">
    <w:p w:rsidR="00D65CE7" w:rsidRDefault="00D65CE7"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7"/>
  </w:num>
  <w:num w:numId="4">
    <w:abstractNumId w:val="24"/>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8"/>
  </w:num>
  <w:num w:numId="13">
    <w:abstractNumId w:val="29"/>
  </w:num>
  <w:num w:numId="14">
    <w:abstractNumId w:val="21"/>
  </w:num>
  <w:num w:numId="15">
    <w:abstractNumId w:val="8"/>
  </w:num>
  <w:num w:numId="16">
    <w:abstractNumId w:val="29"/>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3"/>
  </w:num>
  <w:num w:numId="24">
    <w:abstractNumId w:val="25"/>
  </w:num>
  <w:num w:numId="25">
    <w:abstractNumId w:val="25"/>
  </w:num>
  <w:num w:numId="26">
    <w:abstractNumId w:val="26"/>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D9"/>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7D9"/>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65CE7"/>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EE4671"/>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855C8E-A6ED-4775-BE9E-330D3D7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unhideWhenUsed/>
    <w:rsid w:val="002037D9"/>
    <w:pPr>
      <w:spacing w:before="120" w:line="276" w:lineRule="auto"/>
    </w:pPr>
    <w:rPr>
      <w:rFonts w:ascii="Times New Roman" w:eastAsiaTheme="minorHAnsi"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7076B742-9B95-474E-ADDA-62F8FCAF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1213</Characters>
  <Application>Microsoft Office Word</Application>
  <DocSecurity>4</DocSecurity>
  <Lines>10</Lines>
  <Paragraphs>2</Paragraphs>
  <ScaleCrop>false</ScaleCrop>
  <Company>Minnesota Department of Education</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2</cp:revision>
  <dcterms:created xsi:type="dcterms:W3CDTF">2018-09-24T22:26:00Z</dcterms:created>
  <dcterms:modified xsi:type="dcterms:W3CDTF">2018-09-24T22:26:00Z</dcterms:modified>
</cp:coreProperties>
</file>