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A7642C" w:rsidRDefault="00A7642C" w:rsidP="00A7642C">
          <w:pPr>
            <w:pStyle w:val="Heading1"/>
            <w:rPr>
              <w:lang w:bidi="ar-SA"/>
            </w:rPr>
          </w:pPr>
          <w:r>
            <w:rPr>
              <w:lang w:bidi="ar-SA"/>
            </w:rPr>
            <w:t>Minnesota Standard Adult High School Diploma</w:t>
          </w:r>
        </w:p>
        <w:p w:rsidR="00A7642C" w:rsidRDefault="00A7642C" w:rsidP="00A7642C">
          <w:pPr>
            <w:rPr>
              <w:lang w:bidi="ar-SA"/>
            </w:rPr>
          </w:pPr>
          <w:r>
            <w:rPr>
              <w:lang w:bidi="ar-SA"/>
            </w:rPr>
            <w:t xml:space="preserve">Minnesota’s standard adult high school diploma is a competency-based secondary credential that is issued by the state department of education for adults that complete an </w:t>
          </w:r>
          <w:r w:rsidR="007374C6">
            <w:rPr>
              <w:lang w:bidi="ar-SA"/>
            </w:rPr>
            <w:t>authorize</w:t>
          </w:r>
          <w:r>
            <w:rPr>
              <w:lang w:bidi="ar-SA"/>
            </w:rPr>
            <w:t>d Standard Adult Diploma program in Adult Basic Education (ABE)</w:t>
          </w:r>
          <w:r w:rsidR="007374C6">
            <w:rPr>
              <w:lang w:bidi="ar-SA"/>
            </w:rPr>
            <w:t xml:space="preserve"> with an approved </w:t>
          </w:r>
          <w:r w:rsidR="00A4556E">
            <w:rPr>
              <w:lang w:bidi="ar-SA"/>
            </w:rPr>
            <w:t>electronic</w:t>
          </w:r>
          <w:r w:rsidR="00D22FFF">
            <w:rPr>
              <w:lang w:bidi="ar-SA"/>
            </w:rPr>
            <w:t xml:space="preserve"> </w:t>
          </w:r>
          <w:r w:rsidR="007374C6">
            <w:rPr>
              <w:lang w:bidi="ar-SA"/>
            </w:rPr>
            <w:t>portfolio.</w:t>
          </w:r>
        </w:p>
        <w:p w:rsidR="001C449B" w:rsidRDefault="001C449B" w:rsidP="001C449B">
          <w:pPr>
            <w:rPr>
              <w:lang w:bidi="ar-SA"/>
            </w:rPr>
          </w:pPr>
          <w:r>
            <w:rPr>
              <w:lang w:bidi="ar-SA"/>
            </w:rPr>
            <w:t>The Standard Adult Diploma has:</w:t>
          </w:r>
        </w:p>
        <w:p w:rsidR="001C449B" w:rsidRDefault="001C449B" w:rsidP="001C449B">
          <w:pPr>
            <w:pStyle w:val="ListParagraph"/>
            <w:numPr>
              <w:ilvl w:val="0"/>
              <w:numId w:val="42"/>
            </w:numPr>
            <w:rPr>
              <w:lang w:bidi="ar-SA"/>
            </w:rPr>
          </w:pPr>
          <w:r w:rsidRPr="00D96968">
            <w:rPr>
              <w:b/>
              <w:lang w:bidi="ar-SA"/>
            </w:rPr>
            <w:t>5 Domains</w:t>
          </w:r>
          <w:r>
            <w:rPr>
              <w:lang w:bidi="ar-SA"/>
            </w:rPr>
            <w:t>:  1. English Language Arts, 2. Mathematics, 3. Science, 4. Social Studies, and 5. Employability, Career Awareness and Digital Literacy</w:t>
          </w:r>
        </w:p>
        <w:p w:rsidR="001C449B" w:rsidRDefault="001C449B" w:rsidP="001C449B">
          <w:pPr>
            <w:pStyle w:val="ListParagraph"/>
            <w:numPr>
              <w:ilvl w:val="0"/>
              <w:numId w:val="42"/>
            </w:numPr>
            <w:rPr>
              <w:lang w:bidi="ar-SA"/>
            </w:rPr>
          </w:pPr>
          <w:r>
            <w:rPr>
              <w:lang w:bidi="ar-SA"/>
            </w:rPr>
            <w:t xml:space="preserve">Each domain has </w:t>
          </w:r>
          <w:r w:rsidRPr="00D96968">
            <w:rPr>
              <w:b/>
              <w:lang w:bidi="ar-SA"/>
            </w:rPr>
            <w:t>4 Areas</w:t>
          </w:r>
          <w:r>
            <w:rPr>
              <w:lang w:bidi="ar-SA"/>
            </w:rPr>
            <w:t xml:space="preserve">; </w:t>
          </w:r>
        </w:p>
        <w:p w:rsidR="001C449B" w:rsidRDefault="001C449B" w:rsidP="001C449B">
          <w:pPr>
            <w:pStyle w:val="ListParagraph"/>
            <w:numPr>
              <w:ilvl w:val="0"/>
              <w:numId w:val="42"/>
            </w:numPr>
            <w:rPr>
              <w:lang w:bidi="ar-SA"/>
            </w:rPr>
          </w:pPr>
          <w:r>
            <w:rPr>
              <w:lang w:bidi="ar-SA"/>
            </w:rPr>
            <w:t xml:space="preserve">Each area has </w:t>
          </w:r>
          <w:r>
            <w:rPr>
              <w:b/>
              <w:lang w:bidi="ar-SA"/>
            </w:rPr>
            <w:t>C</w:t>
          </w:r>
          <w:r w:rsidRPr="00D96968">
            <w:rPr>
              <w:b/>
              <w:lang w:bidi="ar-SA"/>
            </w:rPr>
            <w:t>ompetencies</w:t>
          </w:r>
          <w:r>
            <w:rPr>
              <w:lang w:bidi="ar-SA"/>
            </w:rPr>
            <w:t xml:space="preserve"> (1-17 competencies per area); and</w:t>
          </w:r>
        </w:p>
        <w:p w:rsidR="001C449B" w:rsidRDefault="001C449B" w:rsidP="001C449B">
          <w:pPr>
            <w:pStyle w:val="ListParagraph"/>
            <w:numPr>
              <w:ilvl w:val="0"/>
              <w:numId w:val="42"/>
            </w:numPr>
            <w:rPr>
              <w:lang w:bidi="ar-SA"/>
            </w:rPr>
          </w:pPr>
          <w:r>
            <w:rPr>
              <w:lang w:bidi="ar-SA"/>
            </w:rPr>
            <w:t xml:space="preserve">Competencies are based on </w:t>
          </w:r>
          <w:r w:rsidRPr="00D96968">
            <w:rPr>
              <w:b/>
              <w:lang w:bidi="ar-SA"/>
            </w:rPr>
            <w:t>Standards</w:t>
          </w:r>
          <w:r w:rsidRPr="001C449B">
            <w:rPr>
              <w:lang w:bidi="ar-SA"/>
            </w:rPr>
            <w:t>.</w:t>
          </w:r>
        </w:p>
        <w:p w:rsidR="00A7642C" w:rsidRDefault="00A7642C" w:rsidP="00A7642C">
          <w:pPr>
            <w:pStyle w:val="Heading2"/>
            <w:rPr>
              <w:lang w:bidi="ar-SA"/>
            </w:rPr>
          </w:pPr>
          <w:r>
            <w:rPr>
              <w:lang w:bidi="ar-SA"/>
            </w:rPr>
            <w:t>Aligned to Minnesota’s Educational Standards</w:t>
          </w:r>
        </w:p>
        <w:p w:rsidR="00A7642C" w:rsidRDefault="00A7642C" w:rsidP="00A7642C">
          <w:pPr>
            <w:rPr>
              <w:lang w:bidi="ar-SA"/>
            </w:rPr>
          </w:pPr>
          <w:r>
            <w:rPr>
              <w:lang w:bidi="ar-SA"/>
            </w:rPr>
            <w:t xml:space="preserve">Competencies for the Minnesota Standard Adult High School Diploma are based on </w:t>
          </w:r>
          <w:hyperlink r:id="rId12" w:history="1">
            <w:r w:rsidRPr="00A7642C">
              <w:rPr>
                <w:rStyle w:val="Hyperlink"/>
                <w:lang w:bidi="ar-SA"/>
              </w:rPr>
              <w:t>Minnesota’s current K-12 academic standards</w:t>
            </w:r>
          </w:hyperlink>
          <w:r>
            <w:rPr>
              <w:lang w:bidi="ar-SA"/>
            </w:rPr>
            <w:t xml:space="preserve"> (</w:t>
          </w:r>
          <w:r w:rsidRPr="00A7642C">
            <w:rPr>
              <w:lang w:bidi="ar-SA"/>
            </w:rPr>
            <w:t>http://education.state.mn.us/MDE/dse/stds/</w:t>
          </w:r>
          <w:r>
            <w:rPr>
              <w:lang w:bidi="ar-SA"/>
            </w:rPr>
            <w:t>) and embed:</w:t>
          </w:r>
        </w:p>
        <w:p w:rsidR="00A7642C" w:rsidRDefault="00A7642C" w:rsidP="00A7642C">
          <w:pPr>
            <w:pStyle w:val="ListParagraph"/>
            <w:numPr>
              <w:ilvl w:val="0"/>
              <w:numId w:val="31"/>
            </w:numPr>
            <w:rPr>
              <w:lang w:bidi="ar-SA"/>
            </w:rPr>
          </w:pPr>
          <w:r>
            <w:rPr>
              <w:lang w:bidi="ar-SA"/>
            </w:rPr>
            <w:t>College and Career Readiness Standards (CCRS) for Adult Education</w:t>
          </w:r>
        </w:p>
        <w:p w:rsidR="00A7642C" w:rsidRDefault="00A7642C" w:rsidP="00A7642C">
          <w:pPr>
            <w:pStyle w:val="ListParagraph"/>
            <w:numPr>
              <w:ilvl w:val="0"/>
              <w:numId w:val="31"/>
            </w:numPr>
            <w:rPr>
              <w:lang w:bidi="ar-SA"/>
            </w:rPr>
          </w:pPr>
          <w:r>
            <w:rPr>
              <w:lang w:bidi="ar-SA"/>
            </w:rPr>
            <w:t>Academic, Career and Employability Skills (ACES) Transitions Integration Framework and</w:t>
          </w:r>
        </w:p>
        <w:p w:rsidR="00A7642C" w:rsidRDefault="00A7642C" w:rsidP="00A7642C">
          <w:pPr>
            <w:pStyle w:val="ListParagraph"/>
            <w:numPr>
              <w:ilvl w:val="0"/>
              <w:numId w:val="31"/>
            </w:numPr>
            <w:rPr>
              <w:lang w:bidi="ar-SA"/>
            </w:rPr>
          </w:pPr>
          <w:proofErr w:type="spellStart"/>
          <w:r>
            <w:rPr>
              <w:lang w:bidi="ar-SA"/>
            </w:rPr>
            <w:t>Northstar</w:t>
          </w:r>
          <w:proofErr w:type="spellEnd"/>
          <w:r>
            <w:rPr>
              <w:lang w:bidi="ar-SA"/>
            </w:rPr>
            <w:t xml:space="preserve"> Digital Literacy Standards</w:t>
          </w:r>
        </w:p>
        <w:p w:rsidR="00A7642C" w:rsidRDefault="00A7642C" w:rsidP="00A7642C">
          <w:pPr>
            <w:rPr>
              <w:lang w:bidi="ar-SA"/>
            </w:rPr>
          </w:pPr>
          <w:r>
            <w:rPr>
              <w:lang w:bidi="ar-SA"/>
            </w:rPr>
            <w:t xml:space="preserve">More information about Minnesota’s ABE content standards can be found online at the </w:t>
          </w:r>
          <w:hyperlink r:id="rId13" w:history="1">
            <w:r w:rsidRPr="00A7642C">
              <w:rPr>
                <w:rStyle w:val="Hyperlink"/>
                <w:lang w:bidi="ar-SA"/>
              </w:rPr>
              <w:t>ATLAS website for content standards</w:t>
            </w:r>
          </w:hyperlink>
          <w:r>
            <w:rPr>
              <w:lang w:bidi="ar-SA"/>
            </w:rPr>
            <w:t xml:space="preserve"> (</w:t>
          </w:r>
          <w:r w:rsidRPr="00A7642C">
            <w:rPr>
              <w:lang w:bidi="ar-SA"/>
            </w:rPr>
            <w:t>http://atlasabe.org/resources/content-standards</w:t>
          </w:r>
          <w:r>
            <w:rPr>
              <w:lang w:bidi="ar-SA"/>
            </w:rPr>
            <w:t xml:space="preserve">). </w:t>
          </w:r>
        </w:p>
        <w:p w:rsidR="00A7642C" w:rsidRDefault="00A7642C" w:rsidP="00A7642C">
          <w:pPr>
            <w:pStyle w:val="Heading2"/>
            <w:rPr>
              <w:lang w:bidi="ar-SA"/>
            </w:rPr>
          </w:pPr>
          <w:r>
            <w:rPr>
              <w:lang w:bidi="ar-SA"/>
            </w:rPr>
            <w:t>Minnesota Standard Adult Diploma Competency Domains</w:t>
          </w:r>
        </w:p>
        <w:p w:rsidR="00A7642C" w:rsidRDefault="00A7642C" w:rsidP="001C449B">
          <w:pPr>
            <w:rPr>
              <w:lang w:bidi="ar-SA"/>
            </w:rPr>
          </w:pPr>
          <w:r>
            <w:rPr>
              <w:lang w:bidi="ar-SA"/>
            </w:rPr>
            <w:t>There are five subjects or domains that a student must demonstrate competency in order to earn their Standard Adult High School Diploma:</w:t>
          </w:r>
        </w:p>
        <w:tbl>
          <w:tblPr>
            <w:tblStyle w:val="TableGrid"/>
            <w:tblW w:w="0" w:type="auto"/>
            <w:jc w:val="center"/>
            <w:tblLook w:val="04A0" w:firstRow="1" w:lastRow="0" w:firstColumn="1" w:lastColumn="0" w:noHBand="0" w:noVBand="1"/>
            <w:tblCaption w:val="Table: Competency  Domains and Sections"/>
            <w:tblDescription w:val="Standard Adult Diploma Domains and Sections"/>
          </w:tblPr>
          <w:tblGrid>
            <w:gridCol w:w="2628"/>
            <w:gridCol w:w="3690"/>
          </w:tblGrid>
          <w:tr w:rsidR="001C449B" w:rsidRPr="00EF539C" w:rsidTr="0076166E">
            <w:trPr>
              <w:tblHeader/>
              <w:jc w:val="center"/>
            </w:trPr>
            <w:tc>
              <w:tcPr>
                <w:tcW w:w="2628" w:type="dxa"/>
                <w:shd w:val="clear" w:color="auto" w:fill="003865" w:themeFill="text1"/>
              </w:tcPr>
              <w:p w:rsidR="001C449B" w:rsidRPr="00EF539C" w:rsidRDefault="001C449B" w:rsidP="0076166E">
                <w:pPr>
                  <w:spacing w:before="0" w:after="0"/>
                  <w:rPr>
                    <w:b/>
                    <w:color w:val="FFFFFF" w:themeColor="background1"/>
                  </w:rPr>
                </w:pPr>
                <w:r w:rsidRPr="00EF539C">
                  <w:rPr>
                    <w:b/>
                    <w:color w:val="FFFFFF" w:themeColor="background1"/>
                  </w:rPr>
                  <w:t>Domain</w:t>
                </w:r>
              </w:p>
            </w:tc>
            <w:tc>
              <w:tcPr>
                <w:tcW w:w="3690" w:type="dxa"/>
                <w:shd w:val="clear" w:color="auto" w:fill="003865" w:themeFill="text1"/>
              </w:tcPr>
              <w:p w:rsidR="001C449B" w:rsidRPr="00EF539C" w:rsidRDefault="001C449B" w:rsidP="0076166E">
                <w:pPr>
                  <w:spacing w:before="0" w:after="0"/>
                  <w:rPr>
                    <w:b/>
                    <w:color w:val="FFFFFF" w:themeColor="background1"/>
                  </w:rPr>
                </w:pPr>
                <w:r>
                  <w:rPr>
                    <w:b/>
                    <w:color w:val="FFFFFF" w:themeColor="background1"/>
                  </w:rPr>
                  <w:t>Areas</w:t>
                </w:r>
              </w:p>
            </w:tc>
          </w:tr>
          <w:tr w:rsidR="001C449B" w:rsidTr="0076166E">
            <w:trPr>
              <w:jc w:val="center"/>
            </w:trPr>
            <w:tc>
              <w:tcPr>
                <w:tcW w:w="2628" w:type="dxa"/>
                <w:shd w:val="clear" w:color="auto" w:fill="C9EE9D" w:themeFill="accent2" w:themeFillTint="66"/>
              </w:tcPr>
              <w:p w:rsidR="001C449B" w:rsidRPr="00EF539C" w:rsidRDefault="001C449B" w:rsidP="0076166E">
                <w:pPr>
                  <w:spacing w:before="0" w:after="0"/>
                  <w:rPr>
                    <w:b/>
                  </w:rPr>
                </w:pPr>
                <w:r w:rsidRPr="00EF539C">
                  <w:rPr>
                    <w:b/>
                  </w:rPr>
                  <w:t>English Language Arts</w:t>
                </w:r>
              </w:p>
            </w:tc>
            <w:tc>
              <w:tcPr>
                <w:tcW w:w="3690" w:type="dxa"/>
              </w:tcPr>
              <w:p w:rsidR="001C449B" w:rsidRDefault="001C449B" w:rsidP="0076166E">
                <w:pPr>
                  <w:spacing w:before="0" w:after="0"/>
                </w:pPr>
                <w:r>
                  <w:t>Reading</w:t>
                </w:r>
              </w:p>
              <w:p w:rsidR="001C449B" w:rsidRDefault="001C449B" w:rsidP="0076166E">
                <w:pPr>
                  <w:spacing w:before="0" w:after="0"/>
                </w:pPr>
                <w:r>
                  <w:t>Writing</w:t>
                </w:r>
              </w:p>
              <w:p w:rsidR="001C449B" w:rsidRDefault="001C449B" w:rsidP="0076166E">
                <w:pPr>
                  <w:spacing w:before="0" w:after="0"/>
                </w:pPr>
                <w:r>
                  <w:t>Language</w:t>
                </w:r>
              </w:p>
              <w:p w:rsidR="001C449B" w:rsidRDefault="001C449B" w:rsidP="0076166E">
                <w:pPr>
                  <w:spacing w:before="0" w:after="0"/>
                </w:pPr>
                <w:r>
                  <w:t>Speaking and Listening</w:t>
                </w:r>
              </w:p>
            </w:tc>
          </w:tr>
          <w:tr w:rsidR="001C449B" w:rsidTr="0076166E">
            <w:trPr>
              <w:jc w:val="center"/>
            </w:trPr>
            <w:tc>
              <w:tcPr>
                <w:tcW w:w="2628" w:type="dxa"/>
                <w:shd w:val="clear" w:color="auto" w:fill="C9EE9D" w:themeFill="accent2" w:themeFillTint="66"/>
              </w:tcPr>
              <w:p w:rsidR="001C449B" w:rsidRPr="00EF539C" w:rsidRDefault="001C449B" w:rsidP="0076166E">
                <w:pPr>
                  <w:spacing w:before="0" w:after="0"/>
                  <w:rPr>
                    <w:b/>
                  </w:rPr>
                </w:pPr>
                <w:r w:rsidRPr="00EF539C">
                  <w:rPr>
                    <w:b/>
                  </w:rPr>
                  <w:t>Mathematics</w:t>
                </w:r>
              </w:p>
            </w:tc>
            <w:tc>
              <w:tcPr>
                <w:tcW w:w="3690" w:type="dxa"/>
              </w:tcPr>
              <w:p w:rsidR="001C449B" w:rsidRDefault="001C449B" w:rsidP="0076166E">
                <w:pPr>
                  <w:spacing w:before="0" w:after="0"/>
                </w:pPr>
                <w:r>
                  <w:t>Number Sense</w:t>
                </w:r>
              </w:p>
              <w:p w:rsidR="001C449B" w:rsidRDefault="001C449B" w:rsidP="0076166E">
                <w:pPr>
                  <w:spacing w:before="0" w:after="0"/>
                </w:pPr>
                <w:r>
                  <w:t>Algebra</w:t>
                </w:r>
              </w:p>
              <w:p w:rsidR="001C449B" w:rsidRDefault="001C449B" w:rsidP="0076166E">
                <w:pPr>
                  <w:spacing w:before="0" w:after="0"/>
                </w:pPr>
                <w:r>
                  <w:lastRenderedPageBreak/>
                  <w:t>Geometry</w:t>
                </w:r>
              </w:p>
              <w:p w:rsidR="001C449B" w:rsidRDefault="001C449B" w:rsidP="0076166E">
                <w:pPr>
                  <w:spacing w:before="0" w:after="0"/>
                </w:pPr>
                <w:r>
                  <w:t>Data, Statistics and Probability</w:t>
                </w:r>
              </w:p>
            </w:tc>
          </w:tr>
          <w:tr w:rsidR="001C449B" w:rsidTr="0076166E">
            <w:trPr>
              <w:jc w:val="center"/>
            </w:trPr>
            <w:tc>
              <w:tcPr>
                <w:tcW w:w="2628" w:type="dxa"/>
                <w:shd w:val="clear" w:color="auto" w:fill="C9EE9D" w:themeFill="accent2" w:themeFillTint="66"/>
              </w:tcPr>
              <w:p w:rsidR="001C449B" w:rsidRPr="00EF539C" w:rsidRDefault="001C449B" w:rsidP="0076166E">
                <w:pPr>
                  <w:spacing w:before="0" w:after="0"/>
                  <w:rPr>
                    <w:b/>
                  </w:rPr>
                </w:pPr>
                <w:r w:rsidRPr="00EF539C">
                  <w:rPr>
                    <w:b/>
                  </w:rPr>
                  <w:lastRenderedPageBreak/>
                  <w:t>Science</w:t>
                </w:r>
              </w:p>
            </w:tc>
            <w:tc>
              <w:tcPr>
                <w:tcW w:w="3690" w:type="dxa"/>
              </w:tcPr>
              <w:p w:rsidR="001C449B" w:rsidRDefault="001C449B" w:rsidP="0076166E">
                <w:pPr>
                  <w:spacing w:before="0" w:after="0"/>
                </w:pPr>
                <w:r>
                  <w:t>Nature of Science and Engineering</w:t>
                </w:r>
              </w:p>
              <w:p w:rsidR="001C449B" w:rsidRDefault="001C449B" w:rsidP="0076166E">
                <w:pPr>
                  <w:spacing w:before="0" w:after="0"/>
                </w:pPr>
                <w:r>
                  <w:t>Life Science</w:t>
                </w:r>
              </w:p>
              <w:p w:rsidR="001C449B" w:rsidRDefault="001C449B" w:rsidP="0076166E">
                <w:pPr>
                  <w:spacing w:before="0" w:after="0"/>
                </w:pPr>
                <w:r>
                  <w:t>Physical Science</w:t>
                </w:r>
              </w:p>
              <w:p w:rsidR="001C449B" w:rsidRDefault="001C449B" w:rsidP="0076166E">
                <w:pPr>
                  <w:spacing w:before="0" w:after="0"/>
                </w:pPr>
                <w:r>
                  <w:t>Earth and Space Science</w:t>
                </w:r>
              </w:p>
            </w:tc>
          </w:tr>
          <w:tr w:rsidR="001C449B" w:rsidTr="0076166E">
            <w:trPr>
              <w:jc w:val="center"/>
            </w:trPr>
            <w:tc>
              <w:tcPr>
                <w:tcW w:w="2628" w:type="dxa"/>
                <w:shd w:val="clear" w:color="auto" w:fill="C9EE9D" w:themeFill="accent2" w:themeFillTint="66"/>
              </w:tcPr>
              <w:p w:rsidR="001C449B" w:rsidRPr="00EF539C" w:rsidRDefault="001C449B" w:rsidP="0076166E">
                <w:pPr>
                  <w:spacing w:before="0" w:after="0"/>
                  <w:rPr>
                    <w:b/>
                  </w:rPr>
                </w:pPr>
                <w:r w:rsidRPr="00EF539C">
                  <w:rPr>
                    <w:b/>
                  </w:rPr>
                  <w:t>Social Studies</w:t>
                </w:r>
              </w:p>
            </w:tc>
            <w:tc>
              <w:tcPr>
                <w:tcW w:w="3690" w:type="dxa"/>
              </w:tcPr>
              <w:p w:rsidR="001C449B" w:rsidRDefault="001C449B" w:rsidP="0076166E">
                <w:pPr>
                  <w:spacing w:before="0" w:after="0"/>
                </w:pPr>
                <w:r>
                  <w:t>U.S. Government and Citizenship</w:t>
                </w:r>
              </w:p>
              <w:p w:rsidR="001C449B" w:rsidRDefault="001C449B" w:rsidP="0076166E">
                <w:pPr>
                  <w:spacing w:before="0" w:after="0"/>
                </w:pPr>
                <w:r>
                  <w:t>Economics</w:t>
                </w:r>
              </w:p>
              <w:p w:rsidR="001C449B" w:rsidRDefault="001C449B" w:rsidP="0076166E">
                <w:pPr>
                  <w:spacing w:before="0" w:after="0"/>
                </w:pPr>
                <w:r>
                  <w:t>History</w:t>
                </w:r>
              </w:p>
              <w:p w:rsidR="001C449B" w:rsidRDefault="001C449B" w:rsidP="0076166E">
                <w:pPr>
                  <w:spacing w:before="0" w:after="0"/>
                </w:pPr>
                <w:r>
                  <w:t>Geography</w:t>
                </w:r>
              </w:p>
            </w:tc>
          </w:tr>
          <w:tr w:rsidR="001C449B" w:rsidTr="0076166E">
            <w:trPr>
              <w:jc w:val="center"/>
            </w:trPr>
            <w:tc>
              <w:tcPr>
                <w:tcW w:w="2628" w:type="dxa"/>
                <w:shd w:val="clear" w:color="auto" w:fill="C9EE9D" w:themeFill="accent2" w:themeFillTint="66"/>
              </w:tcPr>
              <w:p w:rsidR="001C449B" w:rsidRPr="00EF539C" w:rsidRDefault="001C449B" w:rsidP="0076166E">
                <w:pPr>
                  <w:spacing w:before="0" w:after="0"/>
                  <w:rPr>
                    <w:b/>
                  </w:rPr>
                </w:pPr>
                <w:r w:rsidRPr="00EF539C">
                  <w:rPr>
                    <w:b/>
                  </w:rPr>
                  <w:t>Employability and Career Awareness</w:t>
                </w:r>
              </w:p>
            </w:tc>
            <w:tc>
              <w:tcPr>
                <w:tcW w:w="3690" w:type="dxa"/>
              </w:tcPr>
              <w:p w:rsidR="001C449B" w:rsidRDefault="001C449B" w:rsidP="0076166E">
                <w:pPr>
                  <w:spacing w:before="0" w:after="0"/>
                  <w:rPr>
                    <w:rFonts w:cs="Arial"/>
                  </w:rPr>
                </w:pPr>
                <w:r>
                  <w:rPr>
                    <w:rFonts w:cs="Arial"/>
                  </w:rPr>
                  <w:t>Self-Management</w:t>
                </w:r>
              </w:p>
              <w:p w:rsidR="001C449B" w:rsidRDefault="001C449B" w:rsidP="0076166E">
                <w:pPr>
                  <w:spacing w:before="0" w:after="0"/>
                  <w:rPr>
                    <w:rFonts w:cs="Arial"/>
                  </w:rPr>
                </w:pPr>
                <w:r>
                  <w:rPr>
                    <w:rFonts w:cs="Arial"/>
                  </w:rPr>
                  <w:t>Developing a Future Pathway</w:t>
                </w:r>
              </w:p>
              <w:p w:rsidR="001C449B" w:rsidRDefault="001C449B" w:rsidP="0076166E">
                <w:pPr>
                  <w:spacing w:before="0" w:after="0"/>
                  <w:rPr>
                    <w:rFonts w:cs="Arial"/>
                  </w:rPr>
                </w:pPr>
                <w:r>
                  <w:rPr>
                    <w:rFonts w:cs="Arial"/>
                  </w:rPr>
                  <w:t>Navigating Systems</w:t>
                </w:r>
              </w:p>
              <w:p w:rsidR="001C449B" w:rsidRDefault="001C449B" w:rsidP="0076166E">
                <w:pPr>
                  <w:spacing w:before="0" w:after="0"/>
                </w:pPr>
                <w:r>
                  <w:rPr>
                    <w:rFonts w:cs="Arial"/>
                  </w:rPr>
                  <w:t>Digital Literacy</w:t>
                </w:r>
              </w:p>
            </w:tc>
          </w:tr>
        </w:tbl>
        <w:p w:rsidR="000E3F4D" w:rsidRDefault="00893803" w:rsidP="00A7642C">
          <w:pPr>
            <w:pStyle w:val="Heading2"/>
            <w:rPr>
              <w:lang w:bidi="ar-SA"/>
            </w:rPr>
          </w:pPr>
          <w:r>
            <w:rPr>
              <w:lang w:bidi="ar-SA"/>
            </w:rPr>
            <w:t>Mix and Match:  Adult students can choose their completion options</w:t>
          </w:r>
        </w:p>
        <w:p w:rsidR="00A7642C" w:rsidRDefault="00A7642C" w:rsidP="00A7642C">
          <w:pPr>
            <w:rPr>
              <w:lang w:bidi="ar-SA"/>
            </w:rPr>
          </w:pPr>
          <w:r>
            <w:rPr>
              <w:lang w:bidi="ar-SA"/>
            </w:rPr>
            <w:t>Standard Adult Diploma students have choices in creating their individual learning plan. This helps recognize their experience and skills while working with their ABE program to adapt their path according to their future career pathway. Students may successfully demonstrate each competency through one of the following options:</w:t>
          </w:r>
        </w:p>
        <w:p w:rsidR="00A7642C" w:rsidRDefault="00A7642C" w:rsidP="00A7642C">
          <w:pPr>
            <w:pStyle w:val="ListParagraph"/>
            <w:numPr>
              <w:ilvl w:val="0"/>
              <w:numId w:val="31"/>
            </w:numPr>
            <w:rPr>
              <w:lang w:bidi="ar-SA"/>
            </w:rPr>
          </w:pPr>
          <w:r w:rsidRPr="00A7642C">
            <w:rPr>
              <w:b/>
              <w:lang w:bidi="ar-SA"/>
            </w:rPr>
            <w:t>Prior Experience-Based Competency Verification</w:t>
          </w:r>
          <w:r>
            <w:rPr>
              <w:lang w:bidi="ar-SA"/>
            </w:rPr>
            <w:t xml:space="preserve"> (K-12, postsecondary or other experiences)</w:t>
          </w:r>
        </w:p>
        <w:p w:rsidR="00A7642C" w:rsidRDefault="00A7642C" w:rsidP="00A7642C">
          <w:pPr>
            <w:pStyle w:val="ListParagraph"/>
            <w:numPr>
              <w:ilvl w:val="0"/>
              <w:numId w:val="31"/>
            </w:numPr>
            <w:rPr>
              <w:lang w:bidi="ar-SA"/>
            </w:rPr>
          </w:pPr>
          <w:r w:rsidRPr="00A7642C">
            <w:rPr>
              <w:b/>
              <w:lang w:bidi="ar-SA"/>
            </w:rPr>
            <w:t>Test-Verified Knowledge</w:t>
          </w:r>
          <w:r>
            <w:rPr>
              <w:lang w:bidi="ar-SA"/>
            </w:rPr>
            <w:t xml:space="preserve"> (approved standardized assessment for high schools, secondary credentials, ABE programs and/or postsecondary entrance exams)</w:t>
          </w:r>
        </w:p>
        <w:p w:rsidR="00A7642C" w:rsidRDefault="00A7642C" w:rsidP="00A7642C">
          <w:pPr>
            <w:pStyle w:val="ListParagraph"/>
            <w:numPr>
              <w:ilvl w:val="0"/>
              <w:numId w:val="31"/>
            </w:numPr>
            <w:rPr>
              <w:lang w:bidi="ar-SA"/>
            </w:rPr>
          </w:pPr>
          <w:r w:rsidRPr="00A7642C">
            <w:rPr>
              <w:b/>
              <w:lang w:bidi="ar-SA"/>
            </w:rPr>
            <w:t>ABE Course Demonstration</w:t>
          </w:r>
          <w:r>
            <w:rPr>
              <w:lang w:bidi="ar-SA"/>
            </w:rPr>
            <w:t xml:space="preserve"> (</w:t>
          </w:r>
          <w:r w:rsidR="00A326C8">
            <w:rPr>
              <w:lang w:bidi="ar-SA"/>
            </w:rPr>
            <w:t xml:space="preserve">These are </w:t>
          </w:r>
          <w:r>
            <w:rPr>
              <w:lang w:bidi="ar-SA"/>
            </w:rPr>
            <w:t xml:space="preserve">classes that </w:t>
          </w:r>
          <w:r w:rsidR="00A326C8">
            <w:rPr>
              <w:lang w:bidi="ar-SA"/>
            </w:rPr>
            <w:t>offer</w:t>
          </w:r>
          <w:r>
            <w:rPr>
              <w:lang w:bidi="ar-SA"/>
            </w:rPr>
            <w:t xml:space="preserve"> academic</w:t>
          </w:r>
          <w:r w:rsidR="00A326C8">
            <w:rPr>
              <w:lang w:bidi="ar-SA"/>
            </w:rPr>
            <w:t>, employability</w:t>
          </w:r>
          <w:r>
            <w:rPr>
              <w:lang w:bidi="ar-SA"/>
            </w:rPr>
            <w:t xml:space="preserve"> and career content, like adult diploma class</w:t>
          </w:r>
          <w:r w:rsidR="00A326C8">
            <w:rPr>
              <w:lang w:bidi="ar-SA"/>
            </w:rPr>
            <w:t xml:space="preserve">es, test-preparation </w:t>
          </w:r>
          <w:r>
            <w:rPr>
              <w:lang w:bidi="ar-SA"/>
            </w:rPr>
            <w:t xml:space="preserve">classes, college readiness classes, subject-specific classes, </w:t>
          </w:r>
          <w:r w:rsidR="00A326C8">
            <w:rPr>
              <w:lang w:bidi="ar-SA"/>
            </w:rPr>
            <w:t>integrated education and training</w:t>
          </w:r>
          <w:r>
            <w:rPr>
              <w:lang w:bidi="ar-SA"/>
            </w:rPr>
            <w:t>, etc.)</w:t>
          </w:r>
        </w:p>
        <w:p w:rsidR="00A7642C" w:rsidRDefault="00A7642C" w:rsidP="00A7642C">
          <w:pPr>
            <w:pStyle w:val="ListParagraph"/>
            <w:numPr>
              <w:ilvl w:val="0"/>
              <w:numId w:val="31"/>
            </w:numPr>
            <w:rPr>
              <w:lang w:bidi="ar-SA"/>
            </w:rPr>
          </w:pPr>
          <w:r w:rsidRPr="00A7642C">
            <w:rPr>
              <w:b/>
              <w:lang w:bidi="ar-SA"/>
            </w:rPr>
            <w:t>Applied and Experiential Learning</w:t>
          </w:r>
          <w:r w:rsidR="000E3F4D">
            <w:rPr>
              <w:lang w:bidi="ar-SA"/>
            </w:rPr>
            <w:t xml:space="preserve"> (through an approved contextualized project</w:t>
          </w:r>
          <w:r>
            <w:rPr>
              <w:lang w:bidi="ar-SA"/>
            </w:rPr>
            <w:t>)</w:t>
          </w:r>
        </w:p>
        <w:p w:rsidR="00A7642C" w:rsidRDefault="00A7642C" w:rsidP="00A7642C">
          <w:pPr>
            <w:pStyle w:val="Heading2"/>
            <w:rPr>
              <w:lang w:bidi="ar-SA"/>
            </w:rPr>
          </w:pPr>
          <w:r>
            <w:rPr>
              <w:lang w:bidi="ar-SA"/>
            </w:rPr>
            <w:t>Student Eligibility and Process</w:t>
          </w:r>
        </w:p>
        <w:p w:rsidR="00A7642C" w:rsidRDefault="00A7642C" w:rsidP="00A7642C">
          <w:pPr>
            <w:rPr>
              <w:lang w:bidi="ar-SA"/>
            </w:rPr>
          </w:pPr>
          <w:r>
            <w:rPr>
              <w:lang w:bidi="ar-SA"/>
            </w:rPr>
            <w:t>An adult can be eligible for this diploma program if they do not have a diploma, are not participating with K-12 services, are age 19 and older, and are eligible for ABE program services.</w:t>
          </w:r>
        </w:p>
        <w:p w:rsidR="00A7642C" w:rsidRPr="00A7642C" w:rsidRDefault="00A7642C" w:rsidP="00A7642C">
          <w:pPr>
            <w:rPr>
              <w:lang w:bidi="ar-SA"/>
            </w:rPr>
          </w:pPr>
          <w:r>
            <w:rPr>
              <w:lang w:bidi="ar-SA"/>
            </w:rPr>
            <w:t>A typical Standard Adult Diploma student educational process includes the following:</w:t>
          </w:r>
        </w:p>
        <w:p w:rsidR="00A7642C" w:rsidRPr="00A7642C" w:rsidRDefault="00D57582" w:rsidP="00A7642C">
          <w:pPr>
            <w:rPr>
              <w:b/>
              <w:lang w:bidi="ar-SA"/>
            </w:rPr>
          </w:pPr>
          <w:r>
            <w:rPr>
              <w:b/>
              <w:lang w:bidi="ar-SA"/>
            </w:rPr>
            <w:t>Initial Advising</w:t>
          </w:r>
        </w:p>
        <w:p w:rsidR="00A7642C" w:rsidRDefault="00A7642C" w:rsidP="00A7642C">
          <w:pPr>
            <w:pStyle w:val="ListParagraph"/>
            <w:numPr>
              <w:ilvl w:val="0"/>
              <w:numId w:val="31"/>
            </w:numPr>
            <w:rPr>
              <w:lang w:bidi="ar-SA"/>
            </w:rPr>
          </w:pPr>
          <w:r>
            <w:rPr>
              <w:lang w:bidi="ar-SA"/>
            </w:rPr>
            <w:t>Identify student goals</w:t>
          </w:r>
        </w:p>
        <w:p w:rsidR="00A7642C" w:rsidRDefault="00A7642C" w:rsidP="00A7642C">
          <w:pPr>
            <w:pStyle w:val="ListParagraph"/>
            <w:numPr>
              <w:ilvl w:val="0"/>
              <w:numId w:val="31"/>
            </w:numPr>
            <w:rPr>
              <w:lang w:bidi="ar-SA"/>
            </w:rPr>
          </w:pPr>
          <w:r>
            <w:rPr>
              <w:lang w:bidi="ar-SA"/>
            </w:rPr>
            <w:t>Assess student skills and experience to determine what competencies that may already be complete for the transcript based on prior learning competency verification</w:t>
          </w:r>
        </w:p>
        <w:p w:rsidR="00A7642C" w:rsidRDefault="00A7642C" w:rsidP="00A7642C">
          <w:pPr>
            <w:pStyle w:val="ListParagraph"/>
            <w:numPr>
              <w:ilvl w:val="0"/>
              <w:numId w:val="31"/>
            </w:numPr>
            <w:rPr>
              <w:lang w:bidi="ar-SA"/>
            </w:rPr>
          </w:pPr>
          <w:r>
            <w:rPr>
              <w:lang w:bidi="ar-SA"/>
            </w:rPr>
            <w:lastRenderedPageBreak/>
            <w:t>Identify potential career pathway(s) and needs using career and postsecondary preparation assessments, similar to assessments used in Minnesota’s K-12 system</w:t>
          </w:r>
        </w:p>
        <w:p w:rsidR="00A7642C" w:rsidRDefault="00A7642C" w:rsidP="00A7642C">
          <w:pPr>
            <w:pStyle w:val="ListParagraph"/>
            <w:numPr>
              <w:ilvl w:val="0"/>
              <w:numId w:val="31"/>
            </w:numPr>
            <w:rPr>
              <w:lang w:bidi="ar-SA"/>
            </w:rPr>
          </w:pPr>
          <w:r>
            <w:rPr>
              <w:lang w:bidi="ar-SA"/>
            </w:rPr>
            <w:t>Develop an individualized learning plan based on the student’ identified goals and skills</w:t>
          </w:r>
        </w:p>
        <w:p w:rsidR="00A7642C" w:rsidRPr="00A7642C" w:rsidRDefault="00A7642C" w:rsidP="00A7642C">
          <w:pPr>
            <w:rPr>
              <w:b/>
              <w:lang w:bidi="ar-SA"/>
            </w:rPr>
          </w:pPr>
          <w:r w:rsidRPr="00A7642C">
            <w:rPr>
              <w:b/>
              <w:lang w:bidi="ar-SA"/>
            </w:rPr>
            <w:t>Instruction and Evaluation</w:t>
          </w:r>
        </w:p>
        <w:p w:rsidR="00A7642C" w:rsidRDefault="00A7642C" w:rsidP="00A7642C">
          <w:pPr>
            <w:pStyle w:val="ListParagraph"/>
            <w:numPr>
              <w:ilvl w:val="0"/>
              <w:numId w:val="35"/>
            </w:numPr>
            <w:rPr>
              <w:lang w:bidi="ar-SA"/>
            </w:rPr>
          </w:pPr>
          <w:r>
            <w:rPr>
              <w:lang w:bidi="ar-SA"/>
            </w:rPr>
            <w:t>Implement individualized learning plan based on instruction and preparation on the domains.</w:t>
          </w:r>
        </w:p>
        <w:p w:rsidR="00A7642C" w:rsidRDefault="00A7642C" w:rsidP="00A7642C">
          <w:pPr>
            <w:pStyle w:val="ListParagraph"/>
            <w:numPr>
              <w:ilvl w:val="0"/>
              <w:numId w:val="35"/>
            </w:numPr>
            <w:rPr>
              <w:lang w:bidi="ar-SA"/>
            </w:rPr>
          </w:pPr>
          <w:r>
            <w:rPr>
              <w:lang w:bidi="ar-SA"/>
            </w:rPr>
            <w:t>Post-test learners using approved assessments for Minnesota’s ABE programming</w:t>
          </w:r>
        </w:p>
        <w:p w:rsidR="00A7642C" w:rsidRDefault="00A7642C" w:rsidP="00A7642C">
          <w:pPr>
            <w:pStyle w:val="ListParagraph"/>
            <w:numPr>
              <w:ilvl w:val="0"/>
              <w:numId w:val="35"/>
            </w:numPr>
            <w:rPr>
              <w:lang w:bidi="ar-SA"/>
            </w:rPr>
          </w:pPr>
          <w:r>
            <w:rPr>
              <w:lang w:bidi="ar-SA"/>
            </w:rPr>
            <w:t>Track progress towards diploma and goals</w:t>
          </w:r>
        </w:p>
        <w:p w:rsidR="00A7642C" w:rsidRDefault="00A7642C" w:rsidP="00A7642C">
          <w:pPr>
            <w:pStyle w:val="ListParagraph"/>
            <w:numPr>
              <w:ilvl w:val="0"/>
              <w:numId w:val="35"/>
            </w:numPr>
            <w:rPr>
              <w:lang w:bidi="ar-SA"/>
            </w:rPr>
          </w:pPr>
          <w:r>
            <w:rPr>
              <w:lang w:bidi="ar-SA"/>
            </w:rPr>
            <w:t>Update and adapt individualized learning plan</w:t>
          </w:r>
          <w:r w:rsidR="00970213">
            <w:rPr>
              <w:lang w:bidi="ar-SA"/>
            </w:rPr>
            <w:t xml:space="preserve"> and student portfolio</w:t>
          </w:r>
        </w:p>
        <w:p w:rsidR="00A7642C" w:rsidRDefault="00A7642C" w:rsidP="00A7642C">
          <w:pPr>
            <w:pStyle w:val="ListParagraph"/>
            <w:numPr>
              <w:ilvl w:val="0"/>
              <w:numId w:val="35"/>
            </w:numPr>
            <w:rPr>
              <w:lang w:bidi="ar-SA"/>
            </w:rPr>
          </w:pPr>
          <w:r>
            <w:rPr>
              <w:lang w:bidi="ar-SA"/>
            </w:rPr>
            <w:t>Provide additional support services</w:t>
          </w:r>
        </w:p>
        <w:p w:rsidR="00A7642C" w:rsidRPr="00A7642C" w:rsidRDefault="00A7642C" w:rsidP="00A7642C">
          <w:pPr>
            <w:rPr>
              <w:b/>
              <w:lang w:bidi="ar-SA"/>
            </w:rPr>
          </w:pPr>
          <w:r w:rsidRPr="00A7642C">
            <w:rPr>
              <w:b/>
              <w:lang w:bidi="ar-SA"/>
            </w:rPr>
            <w:t>Graduating Advising</w:t>
          </w:r>
        </w:p>
        <w:p w:rsidR="00A7642C" w:rsidRDefault="008D63B6" w:rsidP="00A7642C">
          <w:pPr>
            <w:pStyle w:val="ListParagraph"/>
            <w:numPr>
              <w:ilvl w:val="0"/>
              <w:numId w:val="37"/>
            </w:numPr>
            <w:rPr>
              <w:lang w:bidi="ar-SA"/>
            </w:rPr>
          </w:pPr>
          <w:r>
            <w:rPr>
              <w:lang w:bidi="ar-SA"/>
            </w:rPr>
            <w:t>Evaluate individual’s</w:t>
          </w:r>
          <w:r w:rsidR="00A7642C">
            <w:rPr>
              <w:lang w:bidi="ar-SA"/>
            </w:rPr>
            <w:t xml:space="preserve"> </w:t>
          </w:r>
          <w:r>
            <w:rPr>
              <w:lang w:bidi="ar-SA"/>
            </w:rPr>
            <w:t>portfolio with evidence and student-produced work</w:t>
          </w:r>
          <w:r w:rsidR="00A7642C">
            <w:rPr>
              <w:lang w:bidi="ar-SA"/>
            </w:rPr>
            <w:t xml:space="preserve"> in Adult Diploma Program to ensure completion of necessary competencies</w:t>
          </w:r>
        </w:p>
        <w:p w:rsidR="00A7642C" w:rsidRDefault="00A7642C" w:rsidP="00A7642C">
          <w:pPr>
            <w:pStyle w:val="ListParagraph"/>
            <w:numPr>
              <w:ilvl w:val="0"/>
              <w:numId w:val="37"/>
            </w:numPr>
            <w:rPr>
              <w:lang w:bidi="ar-SA"/>
            </w:rPr>
          </w:pPr>
          <w:r>
            <w:rPr>
              <w:lang w:bidi="ar-SA"/>
            </w:rPr>
            <w:t>Complete transitions plan to continue work on students’ next steps beyond graduation</w:t>
          </w:r>
        </w:p>
        <w:p w:rsidR="00A7642C" w:rsidRDefault="00A7642C" w:rsidP="00A7642C">
          <w:pPr>
            <w:pStyle w:val="Heading2"/>
            <w:rPr>
              <w:lang w:bidi="ar-SA"/>
            </w:rPr>
          </w:pPr>
          <w:r>
            <w:rPr>
              <w:lang w:bidi="ar-SA"/>
            </w:rPr>
            <w:t>Making the Standard Adult High School Diploma Available Across Minnesota</w:t>
          </w:r>
        </w:p>
        <w:p w:rsidR="00A7642C" w:rsidRDefault="00A7642C" w:rsidP="00A7642C">
          <w:pPr>
            <w:rPr>
              <w:lang w:bidi="ar-SA"/>
            </w:rPr>
          </w:pPr>
          <w:r>
            <w:rPr>
              <w:lang w:bidi="ar-SA"/>
            </w:rPr>
            <w:t>Annually, ABE sites and consortia are able to apply to become new Standard Adult High School Diploma programs. Currently, 2</w:t>
          </w:r>
          <w:r w:rsidR="001C449B">
            <w:rPr>
              <w:lang w:bidi="ar-SA"/>
            </w:rPr>
            <w:t xml:space="preserve">7 of Minnesota’s </w:t>
          </w:r>
          <w:r>
            <w:rPr>
              <w:lang w:bidi="ar-SA"/>
            </w:rPr>
            <w:t>ABE consortia are approved and trained to offer the Standard Adult High School Diploma at more than 100 sites across the state.</w:t>
          </w:r>
        </w:p>
        <w:p w:rsidR="00A7642C" w:rsidRDefault="00A7642C" w:rsidP="00A7642C">
          <w:pPr>
            <w:pStyle w:val="Heading3"/>
            <w:rPr>
              <w:lang w:bidi="ar-SA"/>
            </w:rPr>
          </w:pPr>
          <w:r>
            <w:rPr>
              <w:lang w:bidi="ar-SA"/>
            </w:rPr>
            <w:t>Minnesota Standard Adult High School Diploma Programs</w:t>
          </w:r>
        </w:p>
        <w:p w:rsidR="00105447" w:rsidRPr="00105447" w:rsidRDefault="00105447" w:rsidP="00A7642C">
          <w:pPr>
            <w:pStyle w:val="ListParagraph"/>
            <w:numPr>
              <w:ilvl w:val="0"/>
              <w:numId w:val="40"/>
            </w:numPr>
            <w:rPr>
              <w:lang w:bidi="ar-SA"/>
            </w:rPr>
          </w:pPr>
          <w:r>
            <w:rPr>
              <w:b/>
              <w:lang w:bidi="ar-SA"/>
            </w:rPr>
            <w:t>Arrowhead Economic Opportunity Agency (AEOA)</w:t>
          </w:r>
          <w:r>
            <w:rPr>
              <w:lang w:bidi="ar-SA"/>
            </w:rPr>
            <w:t>, Northeast Minnesota (Tracy Chase)</w:t>
          </w:r>
        </w:p>
        <w:p w:rsidR="00A7642C" w:rsidRDefault="008E1F1A" w:rsidP="00A7642C">
          <w:pPr>
            <w:pStyle w:val="ListParagraph"/>
            <w:numPr>
              <w:ilvl w:val="0"/>
              <w:numId w:val="40"/>
            </w:numPr>
            <w:rPr>
              <w:lang w:bidi="ar-SA"/>
            </w:rPr>
          </w:pPr>
          <w:r w:rsidRPr="008E1F1A">
            <w:rPr>
              <w:b/>
              <w:lang w:bidi="ar-SA"/>
            </w:rPr>
            <w:t>Adult Options in Education</w:t>
          </w:r>
          <w:r>
            <w:rPr>
              <w:lang w:bidi="ar-SA"/>
            </w:rPr>
            <w:t>, Hopkins and St. Louis Park (Chelsea Ritland)</w:t>
          </w:r>
        </w:p>
        <w:p w:rsidR="00A7642C" w:rsidRDefault="008E1F1A" w:rsidP="00A7642C">
          <w:pPr>
            <w:pStyle w:val="ListParagraph"/>
            <w:numPr>
              <w:ilvl w:val="0"/>
              <w:numId w:val="40"/>
            </w:numPr>
            <w:rPr>
              <w:lang w:bidi="ar-SA"/>
            </w:rPr>
          </w:pPr>
          <w:r w:rsidRPr="008E1F1A">
            <w:rPr>
              <w:b/>
              <w:lang w:bidi="ar-SA"/>
            </w:rPr>
            <w:t>Cass Lake-</w:t>
          </w:r>
          <w:proofErr w:type="spellStart"/>
          <w:r w:rsidRPr="008E1F1A">
            <w:rPr>
              <w:b/>
              <w:lang w:bidi="ar-SA"/>
            </w:rPr>
            <w:t>Bena</w:t>
          </w:r>
          <w:proofErr w:type="spellEnd"/>
          <w:r w:rsidRPr="008E1F1A">
            <w:rPr>
              <w:b/>
              <w:lang w:bidi="ar-SA"/>
            </w:rPr>
            <w:t>-Walker</w:t>
          </w:r>
          <w:r w:rsidR="006E0556">
            <w:rPr>
              <w:b/>
              <w:lang w:bidi="ar-SA"/>
            </w:rPr>
            <w:t>,</w:t>
          </w:r>
          <w:r>
            <w:rPr>
              <w:lang w:bidi="ar-SA"/>
            </w:rPr>
            <w:t xml:space="preserve"> (</w:t>
          </w:r>
          <w:r w:rsidR="00A7642C">
            <w:rPr>
              <w:lang w:bidi="ar-SA"/>
            </w:rPr>
            <w:t xml:space="preserve">Laura </w:t>
          </w:r>
          <w:proofErr w:type="spellStart"/>
          <w:r w:rsidR="00A7642C">
            <w:rPr>
              <w:lang w:bidi="ar-SA"/>
            </w:rPr>
            <w:t>Malott</w:t>
          </w:r>
          <w:proofErr w:type="spellEnd"/>
          <w:r>
            <w:rPr>
              <w:lang w:bidi="ar-SA"/>
            </w:rPr>
            <w:t>)</w:t>
          </w:r>
        </w:p>
        <w:p w:rsidR="00A7642C" w:rsidRDefault="008E1F1A" w:rsidP="00A7642C">
          <w:pPr>
            <w:pStyle w:val="ListParagraph"/>
            <w:numPr>
              <w:ilvl w:val="0"/>
              <w:numId w:val="40"/>
            </w:numPr>
            <w:rPr>
              <w:lang w:bidi="ar-SA"/>
            </w:rPr>
          </w:pPr>
          <w:r w:rsidRPr="008E1F1A">
            <w:rPr>
              <w:b/>
              <w:lang w:bidi="ar-SA"/>
            </w:rPr>
            <w:t>Central Minnesota</w:t>
          </w:r>
          <w:r>
            <w:rPr>
              <w:lang w:bidi="ar-SA"/>
            </w:rPr>
            <w:t>, St. Cloud Discovery Center (</w:t>
          </w:r>
          <w:r w:rsidR="00A6570B">
            <w:rPr>
              <w:lang w:bidi="ar-SA"/>
            </w:rPr>
            <w:t>Laurie Leitch</w:t>
          </w:r>
          <w:r>
            <w:rPr>
              <w:lang w:bidi="ar-SA"/>
            </w:rPr>
            <w:t>)</w:t>
          </w:r>
        </w:p>
        <w:p w:rsidR="00A7642C" w:rsidRDefault="008E1F1A" w:rsidP="00A7642C">
          <w:pPr>
            <w:pStyle w:val="ListParagraph"/>
            <w:numPr>
              <w:ilvl w:val="0"/>
              <w:numId w:val="40"/>
            </w:numPr>
            <w:rPr>
              <w:lang w:bidi="ar-SA"/>
            </w:rPr>
          </w:pPr>
          <w:r w:rsidRPr="008E1F1A">
            <w:rPr>
              <w:b/>
              <w:lang w:bidi="ar-SA"/>
            </w:rPr>
            <w:t>Deaf ABE</w:t>
          </w:r>
          <w:r>
            <w:rPr>
              <w:lang w:bidi="ar-SA"/>
            </w:rPr>
            <w:t>, St. Paul (</w:t>
          </w:r>
          <w:r w:rsidR="00A7642C">
            <w:rPr>
              <w:lang w:bidi="ar-SA"/>
            </w:rPr>
            <w:t>Sarah Hoggard</w:t>
          </w:r>
          <w:r>
            <w:rPr>
              <w:lang w:bidi="ar-SA"/>
            </w:rPr>
            <w:t>)</w:t>
          </w:r>
        </w:p>
        <w:p w:rsidR="00A7642C" w:rsidRDefault="008E1F1A" w:rsidP="00A7642C">
          <w:pPr>
            <w:pStyle w:val="ListParagraph"/>
            <w:numPr>
              <w:ilvl w:val="0"/>
              <w:numId w:val="40"/>
            </w:numPr>
            <w:rPr>
              <w:lang w:bidi="ar-SA"/>
            </w:rPr>
          </w:pPr>
          <w:r w:rsidRPr="008E1F1A">
            <w:rPr>
              <w:b/>
              <w:lang w:bidi="ar-SA"/>
            </w:rPr>
            <w:t>Minnesota Department of Corrections</w:t>
          </w:r>
          <w:r>
            <w:rPr>
              <w:lang w:bidi="ar-SA"/>
            </w:rPr>
            <w:t>, multiple facilities (</w:t>
          </w:r>
          <w:r w:rsidR="00A7642C">
            <w:rPr>
              <w:lang w:bidi="ar-SA"/>
            </w:rPr>
            <w:t>Theresa Luther-Dolan</w:t>
          </w:r>
          <w:r>
            <w:rPr>
              <w:lang w:bidi="ar-SA"/>
            </w:rPr>
            <w:t>)</w:t>
          </w:r>
        </w:p>
        <w:p w:rsidR="00A7642C" w:rsidRDefault="008E1F1A" w:rsidP="00A7642C">
          <w:pPr>
            <w:pStyle w:val="ListParagraph"/>
            <w:numPr>
              <w:ilvl w:val="0"/>
              <w:numId w:val="40"/>
            </w:numPr>
            <w:rPr>
              <w:lang w:bidi="ar-SA"/>
            </w:rPr>
          </w:pPr>
          <w:r w:rsidRPr="008E1F1A">
            <w:rPr>
              <w:b/>
              <w:lang w:bidi="ar-SA"/>
            </w:rPr>
            <w:t>Hiawatha Valley</w:t>
          </w:r>
          <w:r>
            <w:rPr>
              <w:lang w:bidi="ar-SA"/>
            </w:rPr>
            <w:t>, Red Wing and Southeast Technical College (</w:t>
          </w:r>
          <w:r w:rsidR="00A7642C">
            <w:rPr>
              <w:lang w:bidi="ar-SA"/>
            </w:rPr>
            <w:t xml:space="preserve">Jill </w:t>
          </w:r>
          <w:proofErr w:type="spellStart"/>
          <w:r w:rsidR="00A7642C">
            <w:rPr>
              <w:lang w:bidi="ar-SA"/>
            </w:rPr>
            <w:t>Rivard</w:t>
          </w:r>
          <w:proofErr w:type="spellEnd"/>
          <w:r>
            <w:rPr>
              <w:lang w:bidi="ar-SA"/>
            </w:rPr>
            <w:t>)</w:t>
          </w:r>
        </w:p>
        <w:p w:rsidR="00A7642C" w:rsidRDefault="008E1F1A" w:rsidP="00A7642C">
          <w:pPr>
            <w:pStyle w:val="ListParagraph"/>
            <w:numPr>
              <w:ilvl w:val="0"/>
              <w:numId w:val="40"/>
            </w:numPr>
            <w:rPr>
              <w:lang w:bidi="ar-SA"/>
            </w:rPr>
          </w:pPr>
          <w:r w:rsidRPr="008E1F1A">
            <w:rPr>
              <w:b/>
              <w:lang w:bidi="ar-SA"/>
            </w:rPr>
            <w:t>Lakeville</w:t>
          </w:r>
          <w:r w:rsidR="006E0556">
            <w:rPr>
              <w:b/>
              <w:lang w:bidi="ar-SA"/>
            </w:rPr>
            <w:t>,</w:t>
          </w:r>
          <w:r>
            <w:rPr>
              <w:lang w:bidi="ar-SA"/>
            </w:rPr>
            <w:t xml:space="preserve"> (Tracie Kreighbaum)</w:t>
          </w:r>
        </w:p>
        <w:p w:rsidR="00A7642C" w:rsidRDefault="008E1F1A" w:rsidP="00A7642C">
          <w:pPr>
            <w:pStyle w:val="ListParagraph"/>
            <w:numPr>
              <w:ilvl w:val="0"/>
              <w:numId w:val="40"/>
            </w:numPr>
            <w:rPr>
              <w:lang w:bidi="ar-SA"/>
            </w:rPr>
          </w:pPr>
          <w:r w:rsidRPr="008E1F1A">
            <w:rPr>
              <w:b/>
              <w:lang w:bidi="ar-SA"/>
            </w:rPr>
            <w:t>Metro East</w:t>
          </w:r>
          <w:r w:rsidR="006E0556">
            <w:rPr>
              <w:b/>
              <w:lang w:bidi="ar-SA"/>
            </w:rPr>
            <w:t>,</w:t>
          </w:r>
          <w:r w:rsidR="00F43FAB">
            <w:rPr>
              <w:lang w:bidi="ar-SA"/>
            </w:rPr>
            <w:t xml:space="preserve"> Forest Lake, Roseville (</w:t>
          </w:r>
          <w:r w:rsidR="006745FD">
            <w:rPr>
              <w:lang w:bidi="ar-SA"/>
            </w:rPr>
            <w:t>Tad Hagen</w:t>
          </w:r>
          <w:r w:rsidR="00F43FAB">
            <w:rPr>
              <w:lang w:bidi="ar-SA"/>
            </w:rPr>
            <w:t>)</w:t>
          </w:r>
        </w:p>
        <w:p w:rsidR="00A7642C" w:rsidRDefault="008E1F1A" w:rsidP="00A7642C">
          <w:pPr>
            <w:pStyle w:val="ListParagraph"/>
            <w:numPr>
              <w:ilvl w:val="0"/>
              <w:numId w:val="40"/>
            </w:numPr>
            <w:rPr>
              <w:lang w:bidi="ar-SA"/>
            </w:rPr>
          </w:pPr>
          <w:r w:rsidRPr="008E1F1A">
            <w:rPr>
              <w:b/>
              <w:lang w:bidi="ar-SA"/>
            </w:rPr>
            <w:t>Metro North</w:t>
          </w:r>
          <w:r w:rsidR="006E0556">
            <w:rPr>
              <w:b/>
              <w:lang w:bidi="ar-SA"/>
            </w:rPr>
            <w:t>,</w:t>
          </w:r>
          <w:r>
            <w:rPr>
              <w:lang w:bidi="ar-SA"/>
            </w:rPr>
            <w:t xml:space="preserve"> Anoka, Blaine and Elk River (</w:t>
          </w:r>
          <w:r w:rsidR="00B51869">
            <w:rPr>
              <w:lang w:bidi="ar-SA"/>
            </w:rPr>
            <w:t>Theresa Zingery)</w:t>
          </w:r>
        </w:p>
        <w:p w:rsidR="00A7642C" w:rsidRDefault="008E1F1A" w:rsidP="00A7642C">
          <w:pPr>
            <w:pStyle w:val="ListParagraph"/>
            <w:numPr>
              <w:ilvl w:val="0"/>
              <w:numId w:val="40"/>
            </w:numPr>
            <w:rPr>
              <w:lang w:bidi="ar-SA"/>
            </w:rPr>
          </w:pPr>
          <w:r w:rsidRPr="008E1F1A">
            <w:rPr>
              <w:b/>
              <w:lang w:bidi="ar-SA"/>
            </w:rPr>
            <w:t>Metro South</w:t>
          </w:r>
          <w:r w:rsidR="006E0556">
            <w:rPr>
              <w:b/>
              <w:lang w:bidi="ar-SA"/>
            </w:rPr>
            <w:t>,</w:t>
          </w:r>
          <w:r>
            <w:rPr>
              <w:lang w:bidi="ar-SA"/>
            </w:rPr>
            <w:t xml:space="preserve"> Bloomington (</w:t>
          </w:r>
          <w:r w:rsidR="00A7642C">
            <w:rPr>
              <w:lang w:bidi="ar-SA"/>
            </w:rPr>
            <w:t>Kellie McGowan</w:t>
          </w:r>
          <w:r>
            <w:rPr>
              <w:lang w:bidi="ar-SA"/>
            </w:rPr>
            <w:t>)</w:t>
          </w:r>
        </w:p>
        <w:p w:rsidR="00A7642C" w:rsidRDefault="008E1F1A" w:rsidP="00D23FAD">
          <w:pPr>
            <w:pStyle w:val="ListParagraph"/>
            <w:numPr>
              <w:ilvl w:val="0"/>
              <w:numId w:val="40"/>
            </w:numPr>
            <w:rPr>
              <w:lang w:bidi="ar-SA"/>
            </w:rPr>
          </w:pPr>
          <w:r w:rsidRPr="008E1F1A">
            <w:rPr>
              <w:b/>
              <w:lang w:bidi="ar-SA"/>
            </w:rPr>
            <w:t>Minneapolis</w:t>
          </w:r>
          <w:r w:rsidR="006E0556">
            <w:rPr>
              <w:b/>
              <w:lang w:bidi="ar-SA"/>
            </w:rPr>
            <w:t>,</w:t>
          </w:r>
          <w:r>
            <w:rPr>
              <w:lang w:bidi="ar-SA"/>
            </w:rPr>
            <w:t xml:space="preserve"> </w:t>
          </w:r>
          <w:r w:rsidR="00A7642C">
            <w:rPr>
              <w:lang w:bidi="ar-SA"/>
            </w:rPr>
            <w:t>Minneapolis Adult Edu</w:t>
          </w:r>
          <w:r>
            <w:rPr>
              <w:lang w:bidi="ar-SA"/>
            </w:rPr>
            <w:t>cation North and South Campuses (</w:t>
          </w:r>
          <w:r w:rsidR="00F43FAB">
            <w:rPr>
              <w:lang w:bidi="ar-SA"/>
            </w:rPr>
            <w:t>Anthony Williams</w:t>
          </w:r>
          <w:r>
            <w:rPr>
              <w:lang w:bidi="ar-SA"/>
            </w:rPr>
            <w:t>)</w:t>
          </w:r>
        </w:p>
        <w:p w:rsidR="00A7642C" w:rsidRDefault="008E1F1A" w:rsidP="00A7642C">
          <w:pPr>
            <w:pStyle w:val="ListParagraph"/>
            <w:numPr>
              <w:ilvl w:val="0"/>
              <w:numId w:val="40"/>
            </w:numPr>
            <w:rPr>
              <w:lang w:bidi="ar-SA"/>
            </w:rPr>
          </w:pPr>
          <w:r w:rsidRPr="008E1F1A">
            <w:rPr>
              <w:b/>
              <w:lang w:bidi="ar-SA"/>
            </w:rPr>
            <w:t>Northwest ABE Region</w:t>
          </w:r>
          <w:r w:rsidR="006E0556">
            <w:rPr>
              <w:b/>
              <w:lang w:bidi="ar-SA"/>
            </w:rPr>
            <w:t>,</w:t>
          </w:r>
          <w:r>
            <w:rPr>
              <w:lang w:bidi="ar-SA"/>
            </w:rPr>
            <w:t xml:space="preserve"> </w:t>
          </w:r>
          <w:r w:rsidR="00A7642C">
            <w:rPr>
              <w:lang w:bidi="ar-SA"/>
            </w:rPr>
            <w:t>Alexandr</w:t>
          </w:r>
          <w:r>
            <w:rPr>
              <w:lang w:bidi="ar-SA"/>
            </w:rPr>
            <w:t>ia, Detroit Lakes, Fergus Falls and Moorhead (</w:t>
          </w:r>
          <w:r w:rsidR="00A7642C">
            <w:rPr>
              <w:lang w:bidi="ar-SA"/>
            </w:rPr>
            <w:t>Amy Fish</w:t>
          </w:r>
          <w:r>
            <w:rPr>
              <w:lang w:bidi="ar-SA"/>
            </w:rPr>
            <w:t>)</w:t>
          </w:r>
        </w:p>
        <w:p w:rsidR="00A7642C" w:rsidRDefault="008E1F1A" w:rsidP="00A7642C">
          <w:pPr>
            <w:pStyle w:val="ListParagraph"/>
            <w:numPr>
              <w:ilvl w:val="0"/>
              <w:numId w:val="40"/>
            </w:numPr>
            <w:rPr>
              <w:lang w:bidi="ar-SA"/>
            </w:rPr>
          </w:pPr>
          <w:r w:rsidRPr="008E1F1A">
            <w:rPr>
              <w:b/>
              <w:lang w:bidi="ar-SA"/>
            </w:rPr>
            <w:t>Northwest Service Cooperative</w:t>
          </w:r>
          <w:r w:rsidR="006E0556">
            <w:rPr>
              <w:b/>
              <w:lang w:bidi="ar-SA"/>
            </w:rPr>
            <w:t>,</w:t>
          </w:r>
          <w:r w:rsidR="00F43FAB">
            <w:rPr>
              <w:lang w:bidi="ar-SA"/>
            </w:rPr>
            <w:t xml:space="preserve"> Bemidji, East Grand Forks, </w:t>
          </w:r>
          <w:r>
            <w:rPr>
              <w:lang w:bidi="ar-SA"/>
            </w:rPr>
            <w:t>Thief River Falls</w:t>
          </w:r>
          <w:r w:rsidR="00F43FAB">
            <w:rPr>
              <w:lang w:bidi="ar-SA"/>
            </w:rPr>
            <w:t>, Wadena</w:t>
          </w:r>
          <w:r>
            <w:rPr>
              <w:lang w:bidi="ar-SA"/>
            </w:rPr>
            <w:t xml:space="preserve"> (</w:t>
          </w:r>
          <w:r w:rsidR="00A7642C">
            <w:rPr>
              <w:lang w:bidi="ar-SA"/>
            </w:rPr>
            <w:t xml:space="preserve">Kirsten </w:t>
          </w:r>
          <w:proofErr w:type="spellStart"/>
          <w:r w:rsidR="00A7642C">
            <w:rPr>
              <w:lang w:bidi="ar-SA"/>
            </w:rPr>
            <w:t>Fuglseth</w:t>
          </w:r>
          <w:proofErr w:type="spellEnd"/>
          <w:r>
            <w:rPr>
              <w:lang w:bidi="ar-SA"/>
            </w:rPr>
            <w:t>)</w:t>
          </w:r>
        </w:p>
        <w:p w:rsidR="00A7642C" w:rsidRDefault="008E1F1A" w:rsidP="00A7642C">
          <w:pPr>
            <w:pStyle w:val="ListParagraph"/>
            <w:numPr>
              <w:ilvl w:val="0"/>
              <w:numId w:val="40"/>
            </w:numPr>
            <w:rPr>
              <w:lang w:bidi="ar-SA"/>
            </w:rPr>
          </w:pPr>
          <w:r w:rsidRPr="008E1F1A">
            <w:rPr>
              <w:b/>
              <w:lang w:bidi="ar-SA"/>
            </w:rPr>
            <w:t>Osseo</w:t>
          </w:r>
          <w:r w:rsidR="006E0556">
            <w:rPr>
              <w:b/>
              <w:lang w:bidi="ar-SA"/>
            </w:rPr>
            <w:t>,</w:t>
          </w:r>
          <w:r>
            <w:rPr>
              <w:lang w:bidi="ar-SA"/>
            </w:rPr>
            <w:t xml:space="preserve"> (Emily Watts)</w:t>
          </w:r>
        </w:p>
        <w:p w:rsidR="00A7642C" w:rsidRDefault="008E1F1A" w:rsidP="00A7642C">
          <w:pPr>
            <w:pStyle w:val="ListParagraph"/>
            <w:numPr>
              <w:ilvl w:val="0"/>
              <w:numId w:val="40"/>
            </w:numPr>
            <w:rPr>
              <w:lang w:bidi="ar-SA"/>
            </w:rPr>
          </w:pPr>
          <w:r w:rsidRPr="008E1F1A">
            <w:rPr>
              <w:b/>
              <w:lang w:bidi="ar-SA"/>
            </w:rPr>
            <w:t>Robbinsdale</w:t>
          </w:r>
          <w:r w:rsidR="006E0556">
            <w:rPr>
              <w:b/>
              <w:lang w:bidi="ar-SA"/>
            </w:rPr>
            <w:t>,</w:t>
          </w:r>
          <w:r>
            <w:rPr>
              <w:lang w:bidi="ar-SA"/>
            </w:rPr>
            <w:t xml:space="preserve"> Crystal Learning Center (</w:t>
          </w:r>
          <w:r w:rsidR="00B51869">
            <w:rPr>
              <w:lang w:bidi="ar-SA"/>
            </w:rPr>
            <w:t>David Esposito</w:t>
          </w:r>
          <w:r>
            <w:rPr>
              <w:lang w:bidi="ar-SA"/>
            </w:rPr>
            <w:t>)</w:t>
          </w:r>
        </w:p>
        <w:p w:rsidR="00A7642C" w:rsidRDefault="008E1F1A" w:rsidP="00A7642C">
          <w:pPr>
            <w:pStyle w:val="ListParagraph"/>
            <w:numPr>
              <w:ilvl w:val="0"/>
              <w:numId w:val="40"/>
            </w:numPr>
            <w:rPr>
              <w:lang w:bidi="ar-SA"/>
            </w:rPr>
          </w:pPr>
          <w:r w:rsidRPr="008E1F1A">
            <w:rPr>
              <w:b/>
              <w:lang w:bidi="ar-SA"/>
            </w:rPr>
            <w:lastRenderedPageBreak/>
            <w:t>Rochester</w:t>
          </w:r>
          <w:r w:rsidR="006E0556">
            <w:rPr>
              <w:b/>
              <w:lang w:bidi="ar-SA"/>
            </w:rPr>
            <w:t>,</w:t>
          </w:r>
          <w:bookmarkStart w:id="0" w:name="_GoBack"/>
          <w:bookmarkEnd w:id="0"/>
          <w:r>
            <w:rPr>
              <w:lang w:bidi="ar-SA"/>
            </w:rPr>
            <w:t xml:space="preserve"> Hawthorne Education Center (</w:t>
          </w:r>
          <w:r w:rsidR="00A7642C">
            <w:rPr>
              <w:lang w:bidi="ar-SA"/>
            </w:rPr>
            <w:t>Nadine Holthaus</w:t>
          </w:r>
          <w:r>
            <w:rPr>
              <w:lang w:bidi="ar-SA"/>
            </w:rPr>
            <w:t>)</w:t>
          </w:r>
        </w:p>
        <w:p w:rsidR="00A7642C" w:rsidRDefault="008E1F1A" w:rsidP="00A7642C">
          <w:pPr>
            <w:pStyle w:val="ListParagraph"/>
            <w:numPr>
              <w:ilvl w:val="0"/>
              <w:numId w:val="40"/>
            </w:numPr>
            <w:rPr>
              <w:lang w:bidi="ar-SA"/>
            </w:rPr>
          </w:pPr>
          <w:r w:rsidRPr="008E1F1A">
            <w:rPr>
              <w:b/>
              <w:lang w:bidi="ar-SA"/>
            </w:rPr>
            <w:t>Southeast ABE</w:t>
          </w:r>
          <w:r>
            <w:rPr>
              <w:lang w:bidi="ar-SA"/>
            </w:rPr>
            <w:t xml:space="preserve">, </w:t>
          </w:r>
          <w:r w:rsidR="00A7642C">
            <w:rPr>
              <w:lang w:bidi="ar-SA"/>
            </w:rPr>
            <w:t>Faribault</w:t>
          </w:r>
        </w:p>
        <w:p w:rsidR="00A7642C" w:rsidRDefault="008E1F1A" w:rsidP="00A7642C">
          <w:pPr>
            <w:pStyle w:val="ListParagraph"/>
            <w:numPr>
              <w:ilvl w:val="0"/>
              <w:numId w:val="40"/>
            </w:numPr>
            <w:rPr>
              <w:lang w:bidi="ar-SA"/>
            </w:rPr>
          </w:pPr>
          <w:r w:rsidRPr="008E1F1A">
            <w:rPr>
              <w:b/>
              <w:lang w:bidi="ar-SA"/>
            </w:rPr>
            <w:t>Southwest ABE Region</w:t>
          </w:r>
          <w:r>
            <w:rPr>
              <w:lang w:bidi="ar-SA"/>
            </w:rPr>
            <w:t xml:space="preserve">, </w:t>
          </w:r>
          <w:r w:rsidR="00A7642C">
            <w:rPr>
              <w:lang w:bidi="ar-SA"/>
            </w:rPr>
            <w:t xml:space="preserve">Blue Earth, Granite Falls, Hutchison, </w:t>
          </w:r>
          <w:proofErr w:type="spellStart"/>
          <w:r w:rsidR="00A7642C">
            <w:rPr>
              <w:lang w:bidi="ar-SA"/>
            </w:rPr>
            <w:t>LeSueur</w:t>
          </w:r>
          <w:proofErr w:type="spellEnd"/>
          <w:r w:rsidR="00A7642C">
            <w:rPr>
              <w:lang w:bidi="ar-SA"/>
            </w:rPr>
            <w:t>, Mankato, Marshall, New Ulm, Pipestone,</w:t>
          </w:r>
          <w:r>
            <w:rPr>
              <w:lang w:bidi="ar-SA"/>
            </w:rPr>
            <w:t xml:space="preserve"> St. Peter, Sleepy Eye, Willmar</w:t>
          </w:r>
          <w:r w:rsidR="00A7642C">
            <w:rPr>
              <w:lang w:bidi="ar-SA"/>
            </w:rPr>
            <w:t xml:space="preserve"> </w:t>
          </w:r>
          <w:r>
            <w:rPr>
              <w:lang w:bidi="ar-SA"/>
            </w:rPr>
            <w:t>and Worthington (</w:t>
          </w:r>
          <w:r w:rsidR="00A7642C">
            <w:rPr>
              <w:lang w:bidi="ar-SA"/>
            </w:rPr>
            <w:t>Karen Wolters</w:t>
          </w:r>
          <w:r>
            <w:rPr>
              <w:lang w:bidi="ar-SA"/>
            </w:rPr>
            <w:t>)</w:t>
          </w:r>
        </w:p>
        <w:p w:rsidR="00A7642C" w:rsidRDefault="00A7642C" w:rsidP="00A7642C">
          <w:pPr>
            <w:pStyle w:val="ListParagraph"/>
            <w:numPr>
              <w:ilvl w:val="0"/>
              <w:numId w:val="40"/>
            </w:numPr>
            <w:rPr>
              <w:lang w:bidi="ar-SA"/>
            </w:rPr>
          </w:pPr>
          <w:r w:rsidRPr="008E1F1A">
            <w:rPr>
              <w:b/>
              <w:lang w:bidi="ar-SA"/>
            </w:rPr>
            <w:t>St. Paul Community Literacy Consortium</w:t>
          </w:r>
          <w:r w:rsidR="008E1F1A">
            <w:rPr>
              <w:lang w:bidi="ar-SA"/>
            </w:rPr>
            <w:t xml:space="preserve">, </w:t>
          </w:r>
          <w:proofErr w:type="spellStart"/>
          <w:r>
            <w:rPr>
              <w:lang w:bidi="ar-SA"/>
            </w:rPr>
            <w:t>Hub</w:t>
          </w:r>
          <w:r w:rsidR="008E1F1A">
            <w:rPr>
              <w:lang w:bidi="ar-SA"/>
            </w:rPr>
            <w:t>bs</w:t>
          </w:r>
          <w:proofErr w:type="spellEnd"/>
          <w:r w:rsidR="008E1F1A">
            <w:rPr>
              <w:lang w:bidi="ar-SA"/>
            </w:rPr>
            <w:t xml:space="preserve"> Center for Lifelong Learning (</w:t>
          </w:r>
          <w:r>
            <w:rPr>
              <w:lang w:bidi="ar-SA"/>
            </w:rPr>
            <w:t>Renada Rutmanis</w:t>
          </w:r>
          <w:r w:rsidR="008E1F1A">
            <w:rPr>
              <w:lang w:bidi="ar-SA"/>
            </w:rPr>
            <w:t>)</w:t>
          </w:r>
        </w:p>
        <w:p w:rsidR="00A7642C" w:rsidRDefault="00A7642C" w:rsidP="00A7642C">
          <w:pPr>
            <w:pStyle w:val="Heading3"/>
            <w:rPr>
              <w:lang w:bidi="ar-SA"/>
            </w:rPr>
          </w:pPr>
          <w:r>
            <w:rPr>
              <w:lang w:bidi="ar-SA"/>
            </w:rPr>
            <w:t>Collaboratively Leading Implementation</w:t>
          </w:r>
        </w:p>
        <w:p w:rsidR="00A7642C" w:rsidRDefault="00A7642C" w:rsidP="00A7642C">
          <w:pPr>
            <w:rPr>
              <w:lang w:bidi="ar-SA"/>
            </w:rPr>
          </w:pPr>
          <w:r>
            <w:rPr>
              <w:lang w:bidi="ar-SA"/>
            </w:rPr>
            <w:t>Primary entities developing the standard adult diploma and aiding local implementation with approved Adult Basic Education (ABE) consortia include the Minnesota Department of Education and an adult diploma working group with stakeholder input from partners.</w:t>
          </w:r>
        </w:p>
      </w:sdtContent>
    </w:sdt>
    <w:p w:rsidR="001C449B" w:rsidRDefault="001C449B" w:rsidP="001C449B">
      <w:pPr>
        <w:pStyle w:val="Heading2"/>
        <w:rPr>
          <w:lang w:bidi="ar-SA"/>
        </w:rPr>
      </w:pPr>
      <w:r>
        <w:rPr>
          <w:lang w:bidi="ar-SA"/>
        </w:rPr>
        <w:t>For More Information</w:t>
      </w:r>
    </w:p>
    <w:p w:rsidR="001C449B" w:rsidRDefault="001C449B" w:rsidP="001C449B">
      <w:pPr>
        <w:rPr>
          <w:lang w:bidi="ar-SA"/>
        </w:rPr>
      </w:pPr>
      <w:r>
        <w:rPr>
          <w:lang w:bidi="ar-SA"/>
        </w:rPr>
        <w:t>To find the program near you, contact the Minnesota Adult Literacy Hotline at:</w:t>
      </w:r>
    </w:p>
    <w:p w:rsidR="001C449B" w:rsidRPr="00973228" w:rsidRDefault="001C449B" w:rsidP="001C449B">
      <w:pPr>
        <w:rPr>
          <w:b/>
          <w:lang w:bidi="ar-SA"/>
        </w:rPr>
      </w:pPr>
      <w:r w:rsidRPr="00973228">
        <w:rPr>
          <w:b/>
          <w:lang w:bidi="ar-SA"/>
        </w:rPr>
        <w:t>1-800-222-1990 or www.mnliteracy.org/hotline.</w:t>
      </w:r>
    </w:p>
    <w:p w:rsidR="001C449B" w:rsidRDefault="001C449B" w:rsidP="001C449B">
      <w:pPr>
        <w:pStyle w:val="ListParagraph"/>
        <w:numPr>
          <w:ilvl w:val="0"/>
          <w:numId w:val="40"/>
        </w:numPr>
        <w:rPr>
          <w:lang w:bidi="ar-SA"/>
        </w:rPr>
      </w:pPr>
      <w:r>
        <w:rPr>
          <w:lang w:bidi="ar-SA"/>
        </w:rPr>
        <w:t>Statutory authority can be found in Minnesota State Statute 124D.52 (</w:t>
      </w:r>
      <w:proofErr w:type="spellStart"/>
      <w:r>
        <w:rPr>
          <w:lang w:bidi="ar-SA"/>
        </w:rPr>
        <w:t>Subd</w:t>
      </w:r>
      <w:proofErr w:type="spellEnd"/>
      <w:r>
        <w:rPr>
          <w:lang w:bidi="ar-SA"/>
        </w:rPr>
        <w:t>. 8-9)</w:t>
      </w:r>
    </w:p>
    <w:p w:rsidR="001C449B" w:rsidRPr="00A7642C" w:rsidRDefault="001C449B" w:rsidP="001C449B">
      <w:pPr>
        <w:pStyle w:val="ListParagraph"/>
        <w:numPr>
          <w:ilvl w:val="0"/>
          <w:numId w:val="40"/>
        </w:numPr>
        <w:rPr>
          <w:lang w:bidi="ar-SA"/>
        </w:rPr>
      </w:pPr>
      <w:r>
        <w:rPr>
          <w:lang w:bidi="ar-SA"/>
        </w:rPr>
        <w:t xml:space="preserve">If you have additional questions, contact Brad Hasskamp at </w:t>
      </w:r>
      <w:hyperlink r:id="rId14" w:history="1">
        <w:r w:rsidRPr="00D11278">
          <w:rPr>
            <w:rStyle w:val="Hyperlink"/>
            <w:lang w:bidi="ar-SA"/>
          </w:rPr>
          <w:t>brad.hasskamp@state.mn.us</w:t>
        </w:r>
      </w:hyperlink>
      <w:r>
        <w:rPr>
          <w:lang w:bidi="ar-SA"/>
        </w:rPr>
        <w:t xml:space="preserve"> or (651) 582-8594</w:t>
      </w:r>
    </w:p>
    <w:p w:rsidR="00A31B9A" w:rsidRDefault="00A31B9A"/>
    <w:sectPr w:rsidR="00A31B9A" w:rsidSect="00973228">
      <w:footerReference w:type="default" r:id="rId15"/>
      <w:footerReference w:type="first" r:id="rId16"/>
      <w:type w:val="continuous"/>
      <w:pgSz w:w="12240" w:h="15840" w:code="1"/>
      <w:pgMar w:top="1440" w:right="1080" w:bottom="1440" w:left="1080" w:header="0" w:footer="50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A8A" w:rsidRDefault="00F84A8A" w:rsidP="00D91FF4">
      <w:r>
        <w:separator/>
      </w:r>
    </w:p>
  </w:endnote>
  <w:endnote w:type="continuationSeparator" w:id="0">
    <w:p w:rsidR="00F84A8A" w:rsidRDefault="00F84A8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876899415"/>
      <w:docPartObj>
        <w:docPartGallery w:val="Page Numbers (Bottom of Page)"/>
        <w:docPartUnique/>
      </w:docPartObj>
    </w:sdtPr>
    <w:sdtEndPr/>
    <w:sdtContent>
      <w:sdt>
        <w:sdtPr>
          <w:rPr>
            <w:i/>
          </w:rPr>
          <w:id w:val="1728636285"/>
          <w:docPartObj>
            <w:docPartGallery w:val="Page Numbers (Top of Page)"/>
            <w:docPartUnique/>
          </w:docPartObj>
        </w:sdtPr>
        <w:sdtEndPr/>
        <w:sdtContent>
          <w:p w:rsidR="00973228" w:rsidRPr="00973228" w:rsidRDefault="00973228" w:rsidP="00973228">
            <w:pPr>
              <w:pStyle w:val="Footer"/>
              <w:jc w:val="center"/>
              <w:rPr>
                <w:i/>
              </w:rPr>
            </w:pPr>
            <w:r>
              <w:rPr>
                <w:i/>
              </w:rPr>
              <w:t xml:space="preserve">Minnesota Standard Adult High School Diploma Overview </w:t>
            </w:r>
            <w:r>
              <w:rPr>
                <w:i/>
              </w:rPr>
              <w:tab/>
            </w:r>
            <w:r w:rsidRPr="00973228">
              <w:rPr>
                <w:i/>
              </w:rPr>
              <w:t xml:space="preserve">Page </w:t>
            </w:r>
            <w:r w:rsidRPr="00973228">
              <w:rPr>
                <w:b/>
                <w:bCs/>
                <w:i/>
                <w:sz w:val="24"/>
                <w:szCs w:val="24"/>
              </w:rPr>
              <w:fldChar w:fldCharType="begin"/>
            </w:r>
            <w:r w:rsidRPr="00973228">
              <w:rPr>
                <w:b/>
                <w:bCs/>
                <w:i/>
              </w:rPr>
              <w:instrText xml:space="preserve"> PAGE </w:instrText>
            </w:r>
            <w:r w:rsidRPr="00973228">
              <w:rPr>
                <w:b/>
                <w:bCs/>
                <w:i/>
                <w:sz w:val="24"/>
                <w:szCs w:val="24"/>
              </w:rPr>
              <w:fldChar w:fldCharType="separate"/>
            </w:r>
            <w:r w:rsidR="006E0556">
              <w:rPr>
                <w:b/>
                <w:bCs/>
                <w:i/>
                <w:noProof/>
              </w:rPr>
              <w:t>4</w:t>
            </w:r>
            <w:r w:rsidRPr="00973228">
              <w:rPr>
                <w:b/>
                <w:bCs/>
                <w:i/>
                <w:sz w:val="24"/>
                <w:szCs w:val="24"/>
              </w:rPr>
              <w:fldChar w:fldCharType="end"/>
            </w:r>
            <w:r w:rsidRPr="00973228">
              <w:rPr>
                <w:i/>
              </w:rPr>
              <w:t xml:space="preserve"> of </w:t>
            </w:r>
            <w:r w:rsidRPr="00973228">
              <w:rPr>
                <w:b/>
                <w:bCs/>
                <w:i/>
                <w:sz w:val="24"/>
                <w:szCs w:val="24"/>
              </w:rPr>
              <w:fldChar w:fldCharType="begin"/>
            </w:r>
            <w:r w:rsidRPr="00973228">
              <w:rPr>
                <w:b/>
                <w:bCs/>
                <w:i/>
              </w:rPr>
              <w:instrText xml:space="preserve"> NUMPAGES  </w:instrText>
            </w:r>
            <w:r w:rsidRPr="00973228">
              <w:rPr>
                <w:b/>
                <w:bCs/>
                <w:i/>
                <w:sz w:val="24"/>
                <w:szCs w:val="24"/>
              </w:rPr>
              <w:fldChar w:fldCharType="separate"/>
            </w:r>
            <w:r w:rsidR="006E0556">
              <w:rPr>
                <w:b/>
                <w:bCs/>
                <w:i/>
                <w:noProof/>
              </w:rPr>
              <w:t>4</w:t>
            </w:r>
            <w:r w:rsidRPr="00973228">
              <w:rPr>
                <w:b/>
                <w:bCs/>
                <w:i/>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A8A" w:rsidRDefault="00F84A8A" w:rsidP="00D91FF4">
      <w:r>
        <w:separator/>
      </w:r>
    </w:p>
  </w:footnote>
  <w:footnote w:type="continuationSeparator" w:id="0">
    <w:p w:rsidR="00F84A8A" w:rsidRDefault="00F84A8A"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9354F2"/>
    <w:multiLevelType w:val="hybridMultilevel"/>
    <w:tmpl w:val="FF921A4E"/>
    <w:lvl w:ilvl="0" w:tplc="0C0459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7A61D1"/>
    <w:multiLevelType w:val="hybridMultilevel"/>
    <w:tmpl w:val="97F2AC68"/>
    <w:lvl w:ilvl="0" w:tplc="0C0459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148B7"/>
    <w:multiLevelType w:val="hybridMultilevel"/>
    <w:tmpl w:val="99C471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9E2E83"/>
    <w:multiLevelType w:val="hybridMultilevel"/>
    <w:tmpl w:val="764A7B14"/>
    <w:lvl w:ilvl="0" w:tplc="B6D82A92">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A0911"/>
    <w:multiLevelType w:val="hybridMultilevel"/>
    <w:tmpl w:val="2E70C5A6"/>
    <w:lvl w:ilvl="0" w:tplc="DE9A737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600A53"/>
    <w:multiLevelType w:val="hybridMultilevel"/>
    <w:tmpl w:val="62E20182"/>
    <w:lvl w:ilvl="0" w:tplc="0C0459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E3032D"/>
    <w:multiLevelType w:val="hybridMultilevel"/>
    <w:tmpl w:val="20C6CFD8"/>
    <w:lvl w:ilvl="0" w:tplc="0C0459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C17D14"/>
    <w:multiLevelType w:val="hybridMultilevel"/>
    <w:tmpl w:val="FE5CCD32"/>
    <w:lvl w:ilvl="0" w:tplc="CAF4907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610233F"/>
    <w:multiLevelType w:val="hybridMultilevel"/>
    <w:tmpl w:val="560C8BBC"/>
    <w:lvl w:ilvl="0" w:tplc="0C0459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737E4"/>
    <w:multiLevelType w:val="hybridMultilevel"/>
    <w:tmpl w:val="ED4065B6"/>
    <w:lvl w:ilvl="0" w:tplc="0C0459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1E306E"/>
    <w:multiLevelType w:val="hybridMultilevel"/>
    <w:tmpl w:val="2E28F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A68A6"/>
    <w:multiLevelType w:val="hybridMultilevel"/>
    <w:tmpl w:val="E2126CC6"/>
    <w:lvl w:ilvl="0" w:tplc="0C0459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A64DBE"/>
    <w:multiLevelType w:val="hybridMultilevel"/>
    <w:tmpl w:val="546E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33"/>
  </w:num>
  <w:num w:numId="4">
    <w:abstractNumId w:val="28"/>
  </w:num>
  <w:num w:numId="5">
    <w:abstractNumId w:val="25"/>
  </w:num>
  <w:num w:numId="6">
    <w:abstractNumId w:val="4"/>
  </w:num>
  <w:num w:numId="7">
    <w:abstractNumId w:val="19"/>
  </w:num>
  <w:num w:numId="8">
    <w:abstractNumId w:val="11"/>
  </w:num>
  <w:num w:numId="9">
    <w:abstractNumId w:val="16"/>
  </w:num>
  <w:num w:numId="10">
    <w:abstractNumId w:val="2"/>
  </w:num>
  <w:num w:numId="11">
    <w:abstractNumId w:val="2"/>
  </w:num>
  <w:num w:numId="12">
    <w:abstractNumId w:val="34"/>
  </w:num>
  <w:num w:numId="13">
    <w:abstractNumId w:val="36"/>
  </w:num>
  <w:num w:numId="14">
    <w:abstractNumId w:val="23"/>
  </w:num>
  <w:num w:numId="15">
    <w:abstractNumId w:val="2"/>
  </w:num>
  <w:num w:numId="16">
    <w:abstractNumId w:val="36"/>
  </w:num>
  <w:num w:numId="17">
    <w:abstractNumId w:val="23"/>
  </w:num>
  <w:num w:numId="18">
    <w:abstractNumId w:val="14"/>
  </w:num>
  <w:num w:numId="19">
    <w:abstractNumId w:val="5"/>
  </w:num>
  <w:num w:numId="20">
    <w:abstractNumId w:val="1"/>
  </w:num>
  <w:num w:numId="21">
    <w:abstractNumId w:val="0"/>
  </w:num>
  <w:num w:numId="22">
    <w:abstractNumId w:val="12"/>
  </w:num>
  <w:num w:numId="23">
    <w:abstractNumId w:val="26"/>
  </w:num>
  <w:num w:numId="24">
    <w:abstractNumId w:val="29"/>
  </w:num>
  <w:num w:numId="25">
    <w:abstractNumId w:val="29"/>
  </w:num>
  <w:num w:numId="26">
    <w:abstractNumId w:val="30"/>
  </w:num>
  <w:num w:numId="27">
    <w:abstractNumId w:val="17"/>
  </w:num>
  <w:num w:numId="28">
    <w:abstractNumId w:val="9"/>
  </w:num>
  <w:num w:numId="29">
    <w:abstractNumId w:val="21"/>
  </w:num>
  <w:num w:numId="30">
    <w:abstractNumId w:val="35"/>
  </w:num>
  <w:num w:numId="31">
    <w:abstractNumId w:val="24"/>
  </w:num>
  <w:num w:numId="32">
    <w:abstractNumId w:val="10"/>
  </w:num>
  <w:num w:numId="33">
    <w:abstractNumId w:val="13"/>
  </w:num>
  <w:num w:numId="34">
    <w:abstractNumId w:val="8"/>
  </w:num>
  <w:num w:numId="35">
    <w:abstractNumId w:val="6"/>
  </w:num>
  <w:num w:numId="36">
    <w:abstractNumId w:val="22"/>
  </w:num>
  <w:num w:numId="37">
    <w:abstractNumId w:val="20"/>
  </w:num>
  <w:num w:numId="38">
    <w:abstractNumId w:val="15"/>
  </w:num>
  <w:num w:numId="39">
    <w:abstractNumId w:val="18"/>
  </w:num>
  <w:num w:numId="40">
    <w:abstractNumId w:val="32"/>
  </w:num>
  <w:num w:numId="41">
    <w:abstractNumId w:val="27"/>
  </w:num>
  <w:num w:numId="4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2C"/>
    <w:rsid w:val="000003C4"/>
    <w:rsid w:val="00002DEC"/>
    <w:rsid w:val="000065AC"/>
    <w:rsid w:val="00006A0A"/>
    <w:rsid w:val="000136DE"/>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E3F4D"/>
    <w:rsid w:val="000F4BB1"/>
    <w:rsid w:val="00105447"/>
    <w:rsid w:val="00135082"/>
    <w:rsid w:val="00135DC7"/>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449B"/>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30A0B"/>
    <w:rsid w:val="00335736"/>
    <w:rsid w:val="00340B9A"/>
    <w:rsid w:val="003563D2"/>
    <w:rsid w:val="00376FA5"/>
    <w:rsid w:val="00377673"/>
    <w:rsid w:val="003A1479"/>
    <w:rsid w:val="003A1813"/>
    <w:rsid w:val="003B7D82"/>
    <w:rsid w:val="003C03D3"/>
    <w:rsid w:val="003C4644"/>
    <w:rsid w:val="003C5BE3"/>
    <w:rsid w:val="003F5F5F"/>
    <w:rsid w:val="00413A7C"/>
    <w:rsid w:val="004141DD"/>
    <w:rsid w:val="00430323"/>
    <w:rsid w:val="00443DC4"/>
    <w:rsid w:val="00461804"/>
    <w:rsid w:val="004643F7"/>
    <w:rsid w:val="00466810"/>
    <w:rsid w:val="0047706A"/>
    <w:rsid w:val="004816B5"/>
    <w:rsid w:val="00483DD2"/>
    <w:rsid w:val="00494E6F"/>
    <w:rsid w:val="004A1B4D"/>
    <w:rsid w:val="004A58DD"/>
    <w:rsid w:val="004A6119"/>
    <w:rsid w:val="004B47DC"/>
    <w:rsid w:val="004C3961"/>
    <w:rsid w:val="004E3DF6"/>
    <w:rsid w:val="004E75B3"/>
    <w:rsid w:val="004F04BA"/>
    <w:rsid w:val="004F0EFF"/>
    <w:rsid w:val="0050093F"/>
    <w:rsid w:val="00514788"/>
    <w:rsid w:val="00515431"/>
    <w:rsid w:val="0054371B"/>
    <w:rsid w:val="0056615E"/>
    <w:rsid w:val="005666F2"/>
    <w:rsid w:val="0057515F"/>
    <w:rsid w:val="005764FB"/>
    <w:rsid w:val="0058227B"/>
    <w:rsid w:val="0059099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6797F"/>
    <w:rsid w:val="00672536"/>
    <w:rsid w:val="006745FD"/>
    <w:rsid w:val="00681EDC"/>
    <w:rsid w:val="00683D66"/>
    <w:rsid w:val="0068649F"/>
    <w:rsid w:val="00687189"/>
    <w:rsid w:val="00697CCC"/>
    <w:rsid w:val="006B13B7"/>
    <w:rsid w:val="006B2942"/>
    <w:rsid w:val="006B3994"/>
    <w:rsid w:val="006C0E45"/>
    <w:rsid w:val="006D4829"/>
    <w:rsid w:val="006E0556"/>
    <w:rsid w:val="006E18EC"/>
    <w:rsid w:val="006F3B38"/>
    <w:rsid w:val="00703012"/>
    <w:rsid w:val="007137A4"/>
    <w:rsid w:val="00715032"/>
    <w:rsid w:val="007374C6"/>
    <w:rsid w:val="00742C0D"/>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93803"/>
    <w:rsid w:val="008A76FD"/>
    <w:rsid w:val="008B5443"/>
    <w:rsid w:val="008B7A1E"/>
    <w:rsid w:val="008C7EEB"/>
    <w:rsid w:val="008D0DEF"/>
    <w:rsid w:val="008D2256"/>
    <w:rsid w:val="008D5E3D"/>
    <w:rsid w:val="008D63B6"/>
    <w:rsid w:val="008E09D4"/>
    <w:rsid w:val="008E1F1A"/>
    <w:rsid w:val="008E3EE8"/>
    <w:rsid w:val="008F7133"/>
    <w:rsid w:val="00905BC6"/>
    <w:rsid w:val="0090737A"/>
    <w:rsid w:val="0094786F"/>
    <w:rsid w:val="0096108C"/>
    <w:rsid w:val="00963BA0"/>
    <w:rsid w:val="00967764"/>
    <w:rsid w:val="00970213"/>
    <w:rsid w:val="00973228"/>
    <w:rsid w:val="009810EE"/>
    <w:rsid w:val="009837DB"/>
    <w:rsid w:val="00984CC9"/>
    <w:rsid w:val="00990E51"/>
    <w:rsid w:val="00991ED5"/>
    <w:rsid w:val="0099233F"/>
    <w:rsid w:val="009B54A0"/>
    <w:rsid w:val="009C6405"/>
    <w:rsid w:val="009F6B2C"/>
    <w:rsid w:val="009F6D79"/>
    <w:rsid w:val="00A30799"/>
    <w:rsid w:val="00A31B9A"/>
    <w:rsid w:val="00A326C8"/>
    <w:rsid w:val="00A4556E"/>
    <w:rsid w:val="00A476C1"/>
    <w:rsid w:val="00A57FE8"/>
    <w:rsid w:val="00A64ECE"/>
    <w:rsid w:val="00A6570B"/>
    <w:rsid w:val="00A66185"/>
    <w:rsid w:val="00A71CAD"/>
    <w:rsid w:val="00A731A2"/>
    <w:rsid w:val="00A7642C"/>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51869"/>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22FFF"/>
    <w:rsid w:val="00D23FAD"/>
    <w:rsid w:val="00D33929"/>
    <w:rsid w:val="00D511F0"/>
    <w:rsid w:val="00D54EE5"/>
    <w:rsid w:val="00D57582"/>
    <w:rsid w:val="00D63F82"/>
    <w:rsid w:val="00D640FC"/>
    <w:rsid w:val="00D70F7D"/>
    <w:rsid w:val="00D761F7"/>
    <w:rsid w:val="00D91FF4"/>
    <w:rsid w:val="00D92929"/>
    <w:rsid w:val="00D93C2E"/>
    <w:rsid w:val="00D970A5"/>
    <w:rsid w:val="00DB4967"/>
    <w:rsid w:val="00DC1A1C"/>
    <w:rsid w:val="00DC22CF"/>
    <w:rsid w:val="00DC78AB"/>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7358D"/>
    <w:rsid w:val="00E76267"/>
    <w:rsid w:val="00EA535B"/>
    <w:rsid w:val="00EC579D"/>
    <w:rsid w:val="00ED5BDC"/>
    <w:rsid w:val="00ED7DAC"/>
    <w:rsid w:val="00F067A6"/>
    <w:rsid w:val="00F20B25"/>
    <w:rsid w:val="00F212F3"/>
    <w:rsid w:val="00F278C3"/>
    <w:rsid w:val="00F3338D"/>
    <w:rsid w:val="00F43FAB"/>
    <w:rsid w:val="00F50243"/>
    <w:rsid w:val="00F70C03"/>
    <w:rsid w:val="00F84A8A"/>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020A8"/>
  <w15:chartTrackingRefBased/>
  <w15:docId w15:val="{528AD380-BD1C-42C3-A60F-4AD5E2E8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D3"/>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rsid w:val="003C03D3"/>
    <w:pPr>
      <w:numPr>
        <w:numId w:val="10"/>
      </w:numPr>
      <w:contextualSpacing/>
    </w:pPr>
  </w:style>
  <w:style w:type="paragraph" w:styleId="Header">
    <w:name w:val="header"/>
    <w:basedOn w:val="Normal"/>
    <w:link w:val="HeaderChar"/>
    <w:uiPriority w:val="99"/>
    <w:unhideWhenUsed/>
    <w:rsid w:val="009732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3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tlasabe.org/resources/content-stand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state.mn.us/MDE/dse/st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ad.hasskamp@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E319414-9AE7-4222-AE5C-33DB9867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858</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(MDE)</dc:creator>
  <cp:keywords/>
  <dc:description/>
  <cp:lastModifiedBy>Hasskamp, Brad (MDE)</cp:lastModifiedBy>
  <cp:revision>15</cp:revision>
  <dcterms:created xsi:type="dcterms:W3CDTF">2018-08-07T19:34:00Z</dcterms:created>
  <dcterms:modified xsi:type="dcterms:W3CDTF">2020-01-23T18:59:00Z</dcterms:modified>
</cp:coreProperties>
</file>