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4F2B" w:rsidRPr="00C04F2B" w:rsidRDefault="00C04F2B" w:rsidP="00C04F2B">
          <w:pPr>
            <w:rPr>
              <w:b/>
              <w:bCs/>
              <w:szCs w:val="20"/>
            </w:rPr>
          </w:pPr>
          <w:r w:rsidRPr="00C04F2B">
            <w:rPr>
              <w:b/>
              <w:bCs/>
              <w:szCs w:val="20"/>
            </w:rPr>
            <w:t>Minnesota Adult Basic Education (ABE)</w:t>
          </w:r>
        </w:p>
        <w:p w:rsidR="00073127" w:rsidRDefault="00C04F2B" w:rsidP="00073127">
          <w:pPr>
            <w:pStyle w:val="Heading1"/>
          </w:pPr>
          <w:r>
            <w:t>Eligible Student Policy</w:t>
          </w:r>
        </w:p>
      </w:sdtContent>
    </w:sdt>
    <w:p w:rsidR="00C04F2B" w:rsidRPr="00C04F2B" w:rsidRDefault="00C04F2B" w:rsidP="00C04F2B">
      <w:pPr>
        <w:ind w:left="720"/>
        <w:rPr>
          <w:b/>
          <w:bCs/>
          <w:szCs w:val="20"/>
        </w:rPr>
      </w:pPr>
      <w:r w:rsidRPr="00C04F2B">
        <w:rPr>
          <w:b/>
          <w:bCs/>
          <w:szCs w:val="20"/>
        </w:rPr>
        <w:t xml:space="preserve">Policy Development Date: </w:t>
      </w:r>
      <w:r w:rsidRPr="00C04F2B">
        <w:rPr>
          <w:b/>
          <w:bCs/>
          <w:szCs w:val="20"/>
        </w:rPr>
        <w:tab/>
        <w:t>April 12, 2013</w:t>
      </w:r>
    </w:p>
    <w:p w:rsidR="00C04F2B" w:rsidRPr="00C04F2B" w:rsidRDefault="00C04F2B" w:rsidP="00C04F2B">
      <w:pPr>
        <w:ind w:left="720"/>
        <w:rPr>
          <w:b/>
          <w:bCs/>
          <w:szCs w:val="20"/>
        </w:rPr>
      </w:pPr>
      <w:r w:rsidRPr="00C04F2B">
        <w:rPr>
          <w:b/>
          <w:bCs/>
          <w:szCs w:val="20"/>
        </w:rPr>
        <w:t xml:space="preserve">Policy Implementation Date: </w:t>
      </w:r>
      <w:r w:rsidRPr="00C04F2B">
        <w:rPr>
          <w:b/>
          <w:bCs/>
          <w:szCs w:val="20"/>
        </w:rPr>
        <w:tab/>
        <w:t>July 1, 2013</w:t>
      </w:r>
    </w:p>
    <w:p w:rsidR="00C04F2B" w:rsidRPr="00C04F2B" w:rsidRDefault="00C04F2B" w:rsidP="00C04F2B">
      <w:pPr>
        <w:ind w:left="720"/>
        <w:rPr>
          <w:b/>
          <w:bCs/>
          <w:szCs w:val="20"/>
        </w:rPr>
      </w:pPr>
      <w:r w:rsidRPr="00C04F2B">
        <w:rPr>
          <w:b/>
          <w:bCs/>
          <w:szCs w:val="20"/>
        </w:rPr>
        <w:t>Latest Policy Revision Date:</w:t>
      </w:r>
      <w:r w:rsidRPr="00C04F2B">
        <w:rPr>
          <w:b/>
          <w:bCs/>
          <w:szCs w:val="20"/>
        </w:rPr>
        <w:tab/>
      </w:r>
      <w:r w:rsidR="00072BC9">
        <w:rPr>
          <w:b/>
          <w:bCs/>
          <w:szCs w:val="20"/>
        </w:rPr>
        <w:t xml:space="preserve">February </w:t>
      </w:r>
      <w:r w:rsidR="00D325D8">
        <w:rPr>
          <w:b/>
          <w:bCs/>
          <w:szCs w:val="20"/>
        </w:rPr>
        <w:t>6</w:t>
      </w:r>
      <w:r w:rsidR="00072BC9">
        <w:rPr>
          <w:b/>
          <w:bCs/>
          <w:szCs w:val="20"/>
        </w:rPr>
        <w:t>, 2019</w:t>
      </w:r>
    </w:p>
    <w:p w:rsidR="00C04F2B" w:rsidRPr="00C04F2B" w:rsidRDefault="00C04F2B" w:rsidP="00C04F2B">
      <w:pPr>
        <w:pStyle w:val="Heading2"/>
      </w:pPr>
      <w:r w:rsidRPr="00C04F2B">
        <w:t>Policy Overview</w:t>
      </w:r>
    </w:p>
    <w:p w:rsidR="00C04F2B" w:rsidRPr="00C04F2B" w:rsidRDefault="00C04F2B" w:rsidP="00C04F2B">
      <w:pPr>
        <w:pStyle w:val="Heading3"/>
      </w:pPr>
      <w:r w:rsidRPr="00C04F2B">
        <w:t>Background</w:t>
      </w:r>
    </w:p>
    <w:p w:rsidR="00C04F2B" w:rsidRPr="00C04F2B" w:rsidRDefault="00C04F2B" w:rsidP="00C04F2B">
      <w:pPr>
        <w:rPr>
          <w:szCs w:val="20"/>
        </w:rPr>
      </w:pPr>
      <w:r w:rsidRPr="00C04F2B">
        <w:rPr>
          <w:szCs w:val="20"/>
        </w:rPr>
        <w:t>Adult Basic Education</w:t>
      </w:r>
      <w:r w:rsidR="00E052E5">
        <w:rPr>
          <w:szCs w:val="20"/>
        </w:rPr>
        <w:t xml:space="preserve"> (ABE)</w:t>
      </w:r>
      <w:r w:rsidRPr="00C04F2B">
        <w:rPr>
          <w:szCs w:val="20"/>
        </w:rPr>
        <w:t xml:space="preserve"> pro</w:t>
      </w:r>
      <w:r w:rsidRPr="00C04F2B">
        <w:rPr>
          <w:szCs w:val="20"/>
        </w:rPr>
        <w:softHyphen/>
        <w:t xml:space="preserve">vides </w:t>
      </w:r>
      <w:r w:rsidRPr="00C04F2B">
        <w:rPr>
          <w:bCs/>
          <w:iCs/>
          <w:szCs w:val="20"/>
        </w:rPr>
        <w:t xml:space="preserve">adults with educational opportunities to acquire and improve their literacy skills necessary to become self-sufficient and to participate effectively as productive workers, family members and citizens.  </w:t>
      </w:r>
      <w:r w:rsidRPr="00C04F2B">
        <w:rPr>
          <w:szCs w:val="20"/>
        </w:rPr>
        <w:t xml:space="preserve">The generic term of “ABE” in Minnesota includes several specific types of programs: </w:t>
      </w:r>
      <w:r w:rsidR="00E052E5" w:rsidRPr="00C04F2B">
        <w:rPr>
          <w:szCs w:val="20"/>
        </w:rPr>
        <w:t>basic academic skills</w:t>
      </w:r>
      <w:r w:rsidR="00E052E5">
        <w:rPr>
          <w:szCs w:val="20"/>
        </w:rPr>
        <w:t>, English language acquisition</w:t>
      </w:r>
      <w:r w:rsidR="00E052E5" w:rsidRPr="00C04F2B">
        <w:rPr>
          <w:szCs w:val="20"/>
        </w:rPr>
        <w:t xml:space="preserve">, </w:t>
      </w:r>
      <w:r w:rsidR="00E052E5">
        <w:rPr>
          <w:szCs w:val="20"/>
        </w:rPr>
        <w:t>high school equivalency assessment preparation</w:t>
      </w:r>
      <w:r w:rsidRPr="00C04F2B">
        <w:rPr>
          <w:szCs w:val="20"/>
        </w:rPr>
        <w:t xml:space="preserve">, </w:t>
      </w:r>
      <w:r w:rsidR="00E052E5">
        <w:rPr>
          <w:szCs w:val="20"/>
        </w:rPr>
        <w:t>a</w:t>
      </w:r>
      <w:r w:rsidRPr="00C04F2B">
        <w:rPr>
          <w:szCs w:val="20"/>
        </w:rPr>
        <w:t xml:space="preserve">dult </w:t>
      </w:r>
      <w:r w:rsidR="00E052E5">
        <w:rPr>
          <w:szCs w:val="20"/>
        </w:rPr>
        <w:t>d</w:t>
      </w:r>
      <w:r w:rsidRPr="00C04F2B">
        <w:rPr>
          <w:szCs w:val="20"/>
        </w:rPr>
        <w:t xml:space="preserve">iploma, </w:t>
      </w:r>
      <w:r w:rsidR="00E052E5">
        <w:rPr>
          <w:szCs w:val="20"/>
        </w:rPr>
        <w:t>f</w:t>
      </w:r>
      <w:r w:rsidRPr="00C04F2B">
        <w:rPr>
          <w:szCs w:val="20"/>
        </w:rPr>
        <w:t xml:space="preserve">amily </w:t>
      </w:r>
      <w:r w:rsidR="00E052E5">
        <w:rPr>
          <w:szCs w:val="20"/>
        </w:rPr>
        <w:t>l</w:t>
      </w:r>
      <w:r w:rsidRPr="00C04F2B">
        <w:rPr>
          <w:szCs w:val="20"/>
        </w:rPr>
        <w:t xml:space="preserve">iteracy, </w:t>
      </w:r>
      <w:r w:rsidR="00E052E5">
        <w:rPr>
          <w:szCs w:val="20"/>
        </w:rPr>
        <w:t>and t</w:t>
      </w:r>
      <w:r w:rsidRPr="00C04F2B">
        <w:rPr>
          <w:szCs w:val="20"/>
        </w:rPr>
        <w:t xml:space="preserve">ransition to </w:t>
      </w:r>
      <w:r w:rsidR="00E052E5">
        <w:rPr>
          <w:szCs w:val="20"/>
        </w:rPr>
        <w:t>p</w:t>
      </w:r>
      <w:r w:rsidRPr="00C04F2B">
        <w:rPr>
          <w:szCs w:val="20"/>
        </w:rPr>
        <w:t>ostsecondary</w:t>
      </w:r>
      <w:r w:rsidR="00E052E5">
        <w:rPr>
          <w:szCs w:val="20"/>
        </w:rPr>
        <w:t xml:space="preserve"> and careers</w:t>
      </w:r>
      <w:r w:rsidRPr="00C04F2B">
        <w:rPr>
          <w:szCs w:val="20"/>
        </w:rPr>
        <w:t xml:space="preserve">.  </w:t>
      </w:r>
    </w:p>
    <w:p w:rsidR="00C04F2B" w:rsidRPr="00C04F2B" w:rsidRDefault="00C04F2B" w:rsidP="00C04F2B">
      <w:pPr>
        <w:rPr>
          <w:szCs w:val="20"/>
        </w:rPr>
      </w:pPr>
      <w:r w:rsidRPr="00C04F2B">
        <w:rPr>
          <w:szCs w:val="20"/>
        </w:rPr>
        <w:t>Our state demographics document a clear need for adult education.  More than 500,000 Minnesotans are eligible for ABE because they are at least 1</w:t>
      </w:r>
      <w:r w:rsidR="00072BC9">
        <w:rPr>
          <w:szCs w:val="20"/>
        </w:rPr>
        <w:t>7</w:t>
      </w:r>
      <w:r w:rsidRPr="00C04F2B">
        <w:rPr>
          <w:szCs w:val="20"/>
        </w:rPr>
        <w:t xml:space="preserve"> years old, are not enrolled in school, and have educational skills below the high school comple</w:t>
      </w:r>
      <w:r w:rsidRPr="00C04F2B">
        <w:rPr>
          <w:szCs w:val="20"/>
        </w:rPr>
        <w:softHyphen/>
        <w:t xml:space="preserve">tion level.  According to the American Community Survey of the U.S. Census, 10% (388,074) of Minnesotans over 18 years old lack a high school diploma or its equivalent.  Additionally, the State Demographer’s Office estimates that one in ten Minnesotans over 5 years old speak a language other than English.  One out every 15 workers in Minnesota is an immigrant or refugee. </w:t>
      </w:r>
    </w:p>
    <w:p w:rsidR="00C04F2B" w:rsidRDefault="00C04F2B" w:rsidP="008F7E9B">
      <w:pPr>
        <w:pStyle w:val="Heading2"/>
      </w:pPr>
      <w:r>
        <w:t>Policy</w:t>
      </w:r>
    </w:p>
    <w:p w:rsidR="00C04F2B" w:rsidRPr="00C04F2B" w:rsidRDefault="00C04F2B" w:rsidP="008F7E9B">
      <w:pPr>
        <w:pStyle w:val="Heading3"/>
      </w:pPr>
      <w:r w:rsidRPr="00C04F2B">
        <w:t>Determining ABE Student Eligibility</w:t>
      </w:r>
    </w:p>
    <w:p w:rsidR="00C04F2B" w:rsidRPr="006C749E" w:rsidRDefault="00E052E5" w:rsidP="00C04F2B">
      <w:pPr>
        <w:rPr>
          <w:szCs w:val="20"/>
        </w:rPr>
      </w:pPr>
      <w:r w:rsidRPr="006C749E">
        <w:rPr>
          <w:szCs w:val="20"/>
        </w:rPr>
        <w:t xml:space="preserve">An individual is eligible for ABE programming as an official ABE student if </w:t>
      </w:r>
      <w:r w:rsidR="00CB0796" w:rsidRPr="006C749E">
        <w:rPr>
          <w:szCs w:val="20"/>
        </w:rPr>
        <w:t>he/she is</w:t>
      </w:r>
      <w:r w:rsidR="00C04F2B" w:rsidRPr="006C749E">
        <w:rPr>
          <w:szCs w:val="20"/>
        </w:rPr>
        <w:t>:</w:t>
      </w:r>
    </w:p>
    <w:p w:rsidR="00C04F2B" w:rsidRPr="006C749E" w:rsidRDefault="00E052E5" w:rsidP="00C04F2B">
      <w:pPr>
        <w:numPr>
          <w:ilvl w:val="0"/>
          <w:numId w:val="36"/>
        </w:numPr>
        <w:rPr>
          <w:szCs w:val="20"/>
        </w:rPr>
      </w:pPr>
      <w:r w:rsidRPr="006C749E">
        <w:rPr>
          <w:szCs w:val="20"/>
        </w:rPr>
        <w:t>At least</w:t>
      </w:r>
      <w:r w:rsidR="00C04F2B" w:rsidRPr="006C749E">
        <w:rPr>
          <w:szCs w:val="20"/>
        </w:rPr>
        <w:t xml:space="preserve"> 17 years of age; and</w:t>
      </w:r>
    </w:p>
    <w:p w:rsidR="00CB0796" w:rsidRPr="006C749E" w:rsidRDefault="00CB0796" w:rsidP="00C04F2B">
      <w:pPr>
        <w:numPr>
          <w:ilvl w:val="0"/>
          <w:numId w:val="36"/>
        </w:numPr>
        <w:rPr>
          <w:szCs w:val="20"/>
        </w:rPr>
      </w:pPr>
      <w:r w:rsidRPr="006C749E">
        <w:rPr>
          <w:szCs w:val="20"/>
        </w:rPr>
        <w:t>Not</w:t>
      </w:r>
      <w:r w:rsidR="00C04F2B" w:rsidRPr="006C749E">
        <w:rPr>
          <w:szCs w:val="20"/>
        </w:rPr>
        <w:t xml:space="preserve"> enrolled </w:t>
      </w:r>
      <w:r w:rsidRPr="006C749E">
        <w:rPr>
          <w:szCs w:val="20"/>
        </w:rPr>
        <w:t>in K-12 instruction; and</w:t>
      </w:r>
    </w:p>
    <w:p w:rsidR="00C04F2B" w:rsidRPr="006C749E" w:rsidRDefault="00CB0796" w:rsidP="00C04F2B">
      <w:pPr>
        <w:numPr>
          <w:ilvl w:val="0"/>
          <w:numId w:val="36"/>
        </w:numPr>
        <w:rPr>
          <w:szCs w:val="20"/>
        </w:rPr>
      </w:pPr>
      <w:r w:rsidRPr="006C749E">
        <w:rPr>
          <w:szCs w:val="20"/>
        </w:rPr>
        <w:t>Not</w:t>
      </w:r>
      <w:r w:rsidR="00C04F2B" w:rsidRPr="006C749E">
        <w:rPr>
          <w:szCs w:val="20"/>
        </w:rPr>
        <w:t xml:space="preserve"> required to be enrolled i</w:t>
      </w:r>
      <w:r w:rsidRPr="006C749E">
        <w:rPr>
          <w:szCs w:val="20"/>
        </w:rPr>
        <w:t>n K-12 instruction under state statute (see details below)</w:t>
      </w:r>
      <w:r w:rsidR="00C04F2B" w:rsidRPr="006C749E">
        <w:rPr>
          <w:szCs w:val="20"/>
        </w:rPr>
        <w:t>; and</w:t>
      </w:r>
    </w:p>
    <w:p w:rsidR="00C04F2B" w:rsidRPr="006C749E" w:rsidRDefault="00C04F2B" w:rsidP="00C04F2B">
      <w:pPr>
        <w:numPr>
          <w:ilvl w:val="0"/>
          <w:numId w:val="36"/>
        </w:numPr>
        <w:rPr>
          <w:szCs w:val="20"/>
        </w:rPr>
      </w:pPr>
      <w:r w:rsidRPr="006C749E">
        <w:rPr>
          <w:szCs w:val="20"/>
        </w:rPr>
        <w:lastRenderedPageBreak/>
        <w:t>Who qualify under one or more of the following conditions:</w:t>
      </w:r>
    </w:p>
    <w:p w:rsidR="00C04F2B" w:rsidRPr="006C749E" w:rsidRDefault="00C04F2B" w:rsidP="00C04F2B">
      <w:pPr>
        <w:numPr>
          <w:ilvl w:val="1"/>
          <w:numId w:val="36"/>
        </w:numPr>
        <w:rPr>
          <w:szCs w:val="20"/>
        </w:rPr>
      </w:pPr>
      <w:r w:rsidRPr="006C749E">
        <w:rPr>
          <w:szCs w:val="20"/>
        </w:rPr>
        <w:t xml:space="preserve">Are unable to speak, read or write the English language; </w:t>
      </w:r>
    </w:p>
    <w:p w:rsidR="00C04F2B" w:rsidRPr="006C749E" w:rsidRDefault="00C04F2B" w:rsidP="00C04F2B">
      <w:pPr>
        <w:numPr>
          <w:ilvl w:val="1"/>
          <w:numId w:val="36"/>
        </w:numPr>
        <w:rPr>
          <w:szCs w:val="20"/>
        </w:rPr>
      </w:pPr>
      <w:r w:rsidRPr="006C749E">
        <w:rPr>
          <w:szCs w:val="20"/>
        </w:rPr>
        <w:t xml:space="preserve">Do not have a high school diploma or its recognized equivalent, and have not achieved an equivalent level of education; </w:t>
      </w:r>
    </w:p>
    <w:p w:rsidR="00C04F2B" w:rsidRPr="006C749E" w:rsidRDefault="00C04F2B" w:rsidP="00C04F2B">
      <w:pPr>
        <w:numPr>
          <w:ilvl w:val="1"/>
          <w:numId w:val="36"/>
        </w:numPr>
        <w:rPr>
          <w:szCs w:val="20"/>
        </w:rPr>
      </w:pPr>
      <w:r w:rsidRPr="006C749E">
        <w:rPr>
          <w:szCs w:val="20"/>
        </w:rPr>
        <w:t>Lack sufficient mastery of basic educational skills to enable the individual to function effectively in society.</w:t>
      </w:r>
    </w:p>
    <w:p w:rsidR="00E052E5" w:rsidRPr="006C749E" w:rsidRDefault="00E052E5" w:rsidP="00E052E5">
      <w:pPr>
        <w:rPr>
          <w:szCs w:val="20"/>
        </w:rPr>
      </w:pPr>
      <w:r w:rsidRPr="006C749E">
        <w:rPr>
          <w:szCs w:val="20"/>
        </w:rPr>
        <w:t xml:space="preserve">ABE programs cannot enroll ineligible students as official ABE students </w:t>
      </w:r>
      <w:r w:rsidR="0030215F">
        <w:rPr>
          <w:szCs w:val="20"/>
        </w:rPr>
        <w:t>generating</w:t>
      </w:r>
      <w:r w:rsidRPr="006C749E">
        <w:rPr>
          <w:szCs w:val="20"/>
        </w:rPr>
        <w:t xml:space="preserve"> contact hours for </w:t>
      </w:r>
      <w:r w:rsidR="0030215F">
        <w:rPr>
          <w:szCs w:val="20"/>
        </w:rPr>
        <w:t>Table A for ABE grant funding</w:t>
      </w:r>
      <w:r w:rsidRPr="006C749E">
        <w:rPr>
          <w:szCs w:val="20"/>
        </w:rPr>
        <w:t>.</w:t>
      </w:r>
    </w:p>
    <w:p w:rsidR="00E052E5" w:rsidRPr="006C749E" w:rsidRDefault="00E052E5" w:rsidP="00C04F2B">
      <w:pPr>
        <w:rPr>
          <w:szCs w:val="20"/>
        </w:rPr>
      </w:pPr>
      <w:r w:rsidRPr="006C749E">
        <w:rPr>
          <w:szCs w:val="20"/>
        </w:rPr>
        <w:t>Individuals</w:t>
      </w:r>
      <w:r w:rsidR="00C04F2B" w:rsidRPr="006C749E">
        <w:rPr>
          <w:szCs w:val="20"/>
        </w:rPr>
        <w:t xml:space="preserve"> are not eligible for ABE services if they are enrolled in a public or private K-12 program – this includes public or private regular high schools, charter schools, </w:t>
      </w:r>
      <w:r w:rsidR="00CB0796" w:rsidRPr="006C749E">
        <w:rPr>
          <w:szCs w:val="20"/>
        </w:rPr>
        <w:t>area learning centers</w:t>
      </w:r>
      <w:r w:rsidR="00072BC9" w:rsidRPr="006C749E">
        <w:rPr>
          <w:szCs w:val="20"/>
        </w:rPr>
        <w:t>,</w:t>
      </w:r>
      <w:r w:rsidR="00C04F2B" w:rsidRPr="006C749E">
        <w:rPr>
          <w:szCs w:val="20"/>
        </w:rPr>
        <w:t xml:space="preserve"> and other alternative </w:t>
      </w:r>
      <w:r w:rsidRPr="006C749E">
        <w:rPr>
          <w:szCs w:val="20"/>
        </w:rPr>
        <w:t xml:space="preserve">or </w:t>
      </w:r>
      <w:r w:rsidR="00C04F2B" w:rsidRPr="006C749E">
        <w:rPr>
          <w:szCs w:val="20"/>
        </w:rPr>
        <w:t>high school programs.</w:t>
      </w:r>
      <w:r w:rsidR="008F7E9B" w:rsidRPr="006C749E">
        <w:rPr>
          <w:szCs w:val="20"/>
        </w:rPr>
        <w:t xml:space="preserve"> </w:t>
      </w:r>
    </w:p>
    <w:p w:rsidR="00C04F2B" w:rsidRPr="006C749E" w:rsidRDefault="00C04F2B" w:rsidP="00C04F2B">
      <w:pPr>
        <w:rPr>
          <w:szCs w:val="20"/>
        </w:rPr>
      </w:pPr>
      <w:r w:rsidRPr="006C749E">
        <w:rPr>
          <w:szCs w:val="20"/>
        </w:rPr>
        <w:t>Students who are enrolled in postsecondary institutions are eligible for ABE services if they meet the conditions above.  Please note the</w:t>
      </w:r>
      <w:r w:rsidR="00273442" w:rsidRPr="006C749E">
        <w:rPr>
          <w:szCs w:val="20"/>
        </w:rPr>
        <w:t xml:space="preserve"> individual</w:t>
      </w:r>
      <w:r w:rsidRPr="006C749E">
        <w:rPr>
          <w:szCs w:val="20"/>
        </w:rPr>
        <w:t xml:space="preserve"> cannot be dually enr</w:t>
      </w:r>
      <w:r w:rsidR="00273442" w:rsidRPr="006C749E">
        <w:rPr>
          <w:szCs w:val="20"/>
        </w:rPr>
        <w:t>olled in a K-12 program (e.g. postsecondary enrollment option (PSEO), concurrent enrollment, or an early/middle college program</w:t>
      </w:r>
      <w:r w:rsidRPr="006C749E">
        <w:rPr>
          <w:szCs w:val="20"/>
        </w:rPr>
        <w:t>).</w:t>
      </w:r>
    </w:p>
    <w:p w:rsidR="008F7E9B" w:rsidRPr="006C749E" w:rsidRDefault="00CB0796" w:rsidP="008F7E9B">
      <w:pPr>
        <w:pStyle w:val="Heading3"/>
      </w:pPr>
      <w:r w:rsidRPr="006C749E">
        <w:t>Individual</w:t>
      </w:r>
      <w:r w:rsidR="00B50ABB" w:rsidRPr="006C749E">
        <w:t>s</w:t>
      </w:r>
      <w:r w:rsidRPr="006C749E">
        <w:t xml:space="preserve"> Required to Be Enrolled in K-12</w:t>
      </w:r>
    </w:p>
    <w:p w:rsidR="008F7E9B" w:rsidRPr="006C749E" w:rsidRDefault="00CB0796" w:rsidP="00C04F2B">
      <w:pPr>
        <w:rPr>
          <w:szCs w:val="20"/>
        </w:rPr>
      </w:pPr>
      <w:r w:rsidRPr="006C749E">
        <w:rPr>
          <w:szCs w:val="20"/>
        </w:rPr>
        <w:t xml:space="preserve">Minnesota State Statute 120A.22 details who must be enrolled in K-12 instruction. </w:t>
      </w:r>
      <w:bookmarkStart w:id="0" w:name="_GoBack"/>
      <w:bookmarkEnd w:id="0"/>
    </w:p>
    <w:p w:rsidR="00C04F2B" w:rsidRPr="006C749E" w:rsidRDefault="00C04F2B" w:rsidP="00B50ABB">
      <w:pPr>
        <w:pStyle w:val="Heading2"/>
      </w:pPr>
      <w:r w:rsidRPr="006C749E">
        <w:t>For More Information</w:t>
      </w:r>
    </w:p>
    <w:p w:rsidR="00CB0796" w:rsidRPr="006C749E" w:rsidRDefault="00C04F2B" w:rsidP="00C04F2B">
      <w:pPr>
        <w:rPr>
          <w:szCs w:val="20"/>
        </w:rPr>
      </w:pPr>
      <w:r w:rsidRPr="006C749E">
        <w:rPr>
          <w:szCs w:val="20"/>
        </w:rPr>
        <w:t xml:space="preserve">This policy, along with other ABE policies and resources, can be found online at the </w:t>
      </w:r>
      <w:hyperlink r:id="rId12" w:history="1">
        <w:r w:rsidRPr="006C749E">
          <w:rPr>
            <w:rStyle w:val="Hyperlink"/>
            <w:szCs w:val="20"/>
          </w:rPr>
          <w:t>Minnesota ABE Law, Policy and Guidanc</w:t>
        </w:r>
        <w:r w:rsidR="00E052E5" w:rsidRPr="006C749E">
          <w:rPr>
            <w:rStyle w:val="Hyperlink"/>
            <w:szCs w:val="20"/>
          </w:rPr>
          <w:t>e page</w:t>
        </w:r>
      </w:hyperlink>
      <w:r w:rsidRPr="006C749E">
        <w:rPr>
          <w:szCs w:val="20"/>
        </w:rPr>
        <w:t xml:space="preserve"> (</w:t>
      </w:r>
      <w:r w:rsidR="00CB0796" w:rsidRPr="006C749E">
        <w:rPr>
          <w:szCs w:val="20"/>
        </w:rPr>
        <w:t>http://www.mnabe.org/program-management/law-policy-guidance</w:t>
      </w:r>
      <w:r w:rsidRPr="006C749E">
        <w:rPr>
          <w:szCs w:val="20"/>
        </w:rPr>
        <w:t>).</w:t>
      </w:r>
    </w:p>
    <w:p w:rsidR="00C04F2B" w:rsidRPr="00C04F2B" w:rsidRDefault="00CB0796" w:rsidP="00C04F2B">
      <w:pPr>
        <w:rPr>
          <w:szCs w:val="20"/>
        </w:rPr>
      </w:pPr>
      <w:r w:rsidRPr="006C749E">
        <w:rPr>
          <w:szCs w:val="20"/>
        </w:rPr>
        <w:t xml:space="preserve">Minnesota state statutes and session laws can be found online at the </w:t>
      </w:r>
      <w:hyperlink r:id="rId13" w:history="1">
        <w:r w:rsidRPr="006C749E">
          <w:rPr>
            <w:rStyle w:val="Hyperlink"/>
            <w:szCs w:val="20"/>
          </w:rPr>
          <w:t>Minnesota Office of the Revisor of Statutes website</w:t>
        </w:r>
      </w:hyperlink>
      <w:r w:rsidRPr="006C749E">
        <w:rPr>
          <w:szCs w:val="20"/>
        </w:rPr>
        <w:t xml:space="preserve"> (www.revisor.mn.gov). </w:t>
      </w:r>
      <w:r w:rsidR="00C04F2B" w:rsidRPr="006C749E">
        <w:rPr>
          <w:szCs w:val="20"/>
        </w:rPr>
        <w:br/>
      </w:r>
      <w:r w:rsidR="00C04F2B" w:rsidRPr="006C749E">
        <w:rPr>
          <w:szCs w:val="20"/>
        </w:rPr>
        <w:br/>
        <w:t>If you have any questions about the Minnesota ABE policies, contact Brad Hasskamp, (651) 582-8594 or</w:t>
      </w:r>
      <w:r w:rsidR="00C04F2B" w:rsidRPr="00C04F2B">
        <w:rPr>
          <w:szCs w:val="20"/>
        </w:rPr>
        <w:t xml:space="preserve"> brad.hasskamp@state.mn.us.</w:t>
      </w:r>
      <w:r w:rsidR="00C04F2B" w:rsidRPr="00C04F2B">
        <w:rPr>
          <w:szCs w:val="20"/>
        </w:rPr>
        <w:br/>
      </w:r>
    </w:p>
    <w:p w:rsidR="00547E68" w:rsidRPr="00073127" w:rsidRDefault="00547E68" w:rsidP="00073127">
      <w:pPr>
        <w:rPr>
          <w:lang w:bidi="ar-SA"/>
        </w:rPr>
      </w:pPr>
    </w:p>
    <w:sectPr w:rsidR="00547E68" w:rsidRPr="00073127" w:rsidSect="00B437C8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C2" w:rsidRDefault="00A74CC2" w:rsidP="00D91FF4">
      <w:r>
        <w:separator/>
      </w:r>
    </w:p>
  </w:endnote>
  <w:endnote w:type="continuationSeparator" w:id="0">
    <w:p w:rsidR="00A74CC2" w:rsidRDefault="00A74CC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67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57F7" w:rsidRDefault="00083CB5">
            <w:pPr>
              <w:pStyle w:val="Footer"/>
            </w:pPr>
            <w:r w:rsidRPr="00687EB9">
              <w:rPr>
                <w:i/>
              </w:rPr>
              <w:t xml:space="preserve">MNABE </w:t>
            </w:r>
            <w:r>
              <w:rPr>
                <w:i/>
              </w:rPr>
              <w:t>Eligible Student</w:t>
            </w:r>
            <w:r w:rsidRPr="00687EB9">
              <w:rPr>
                <w:i/>
              </w:rPr>
              <w:t xml:space="preserve"> Policy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7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7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C2" w:rsidRDefault="00A74CC2" w:rsidP="00D91FF4">
      <w:r>
        <w:separator/>
      </w:r>
    </w:p>
  </w:footnote>
  <w:footnote w:type="continuationSeparator" w:id="0">
    <w:p w:rsidR="00A74CC2" w:rsidRDefault="00A74CC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0C7D03"/>
    <w:multiLevelType w:val="hybridMultilevel"/>
    <w:tmpl w:val="3A740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462A7"/>
    <w:multiLevelType w:val="hybridMultilevel"/>
    <w:tmpl w:val="DDD0F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5"/>
  </w:num>
  <w:num w:numId="5">
    <w:abstractNumId w:val="23"/>
  </w:num>
  <w:num w:numId="6">
    <w:abstractNumId w:val="10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0"/>
  </w:num>
  <w:num w:numId="14">
    <w:abstractNumId w:val="22"/>
  </w:num>
  <w:num w:numId="15">
    <w:abstractNumId w:val="8"/>
  </w:num>
  <w:num w:numId="16">
    <w:abstractNumId w:val="30"/>
  </w:num>
  <w:num w:numId="17">
    <w:abstractNumId w:val="22"/>
  </w:num>
  <w:num w:numId="18">
    <w:abstractNumId w:val="17"/>
  </w:num>
  <w:num w:numId="19">
    <w:abstractNumId w:val="11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14"/>
  </w:num>
  <w:num w:numId="29">
    <w:abstractNumId w:val="2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2"/>
  </w:num>
  <w:num w:numId="37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2B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2BC9"/>
    <w:rsid w:val="00073127"/>
    <w:rsid w:val="0007374A"/>
    <w:rsid w:val="00077A06"/>
    <w:rsid w:val="00080404"/>
    <w:rsid w:val="00083CB5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73442"/>
    <w:rsid w:val="00274B49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215F"/>
    <w:rsid w:val="00306D94"/>
    <w:rsid w:val="003125DF"/>
    <w:rsid w:val="0032387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749E"/>
    <w:rsid w:val="006D4829"/>
    <w:rsid w:val="006E18EC"/>
    <w:rsid w:val="006F3B38"/>
    <w:rsid w:val="00703012"/>
    <w:rsid w:val="007137A4"/>
    <w:rsid w:val="0074778B"/>
    <w:rsid w:val="0077225E"/>
    <w:rsid w:val="007857F7"/>
    <w:rsid w:val="00793F48"/>
    <w:rsid w:val="007A67E4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8F7E9B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A4E28"/>
    <w:rsid w:val="009B21DE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74CC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352C2"/>
    <w:rsid w:val="00B437C8"/>
    <w:rsid w:val="00B50ABB"/>
    <w:rsid w:val="00B61640"/>
    <w:rsid w:val="00B75051"/>
    <w:rsid w:val="00B77CC5"/>
    <w:rsid w:val="00B859DE"/>
    <w:rsid w:val="00BC588A"/>
    <w:rsid w:val="00BD0E59"/>
    <w:rsid w:val="00BE0288"/>
    <w:rsid w:val="00BE3444"/>
    <w:rsid w:val="00C04F2B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B0796"/>
    <w:rsid w:val="00CE0FEE"/>
    <w:rsid w:val="00CE45B0"/>
    <w:rsid w:val="00CF1393"/>
    <w:rsid w:val="00CF4F3A"/>
    <w:rsid w:val="00D0014D"/>
    <w:rsid w:val="00D059F7"/>
    <w:rsid w:val="00D22819"/>
    <w:rsid w:val="00D325D8"/>
    <w:rsid w:val="00D33929"/>
    <w:rsid w:val="00D511F0"/>
    <w:rsid w:val="00D54EE5"/>
    <w:rsid w:val="00D63F82"/>
    <w:rsid w:val="00D640FC"/>
    <w:rsid w:val="00D70F7D"/>
    <w:rsid w:val="00D761F7"/>
    <w:rsid w:val="00D81EA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52E5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00FA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8F465-86BA-4CE4-8053-48099A28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83C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visor.m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abe.org/program-management/law-policy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4B1692-CD69-4B33-9E95-F62A4267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Hasskamp, Brad (MDE)</cp:lastModifiedBy>
  <cp:revision>2</cp:revision>
  <dcterms:created xsi:type="dcterms:W3CDTF">2019-02-06T17:58:00Z</dcterms:created>
  <dcterms:modified xsi:type="dcterms:W3CDTF">2019-02-06T17:58:00Z</dcterms:modified>
</cp:coreProperties>
</file>