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5A1F2" w14:textId="56652891" w:rsidR="00397223" w:rsidRPr="00D467A8" w:rsidRDefault="00397223" w:rsidP="00397223">
      <w:pPr>
        <w:rPr>
          <w:rFonts w:ascii="Calibri" w:hAnsi="Calibri" w:cs="Times New Roman"/>
          <w:b/>
          <w:color w:val="001E60"/>
          <w:szCs w:val="28"/>
        </w:rPr>
      </w:pPr>
      <w:bookmarkStart w:id="0" w:name="_GoBack"/>
      <w:bookmarkEnd w:id="0"/>
    </w:p>
    <w:p w14:paraId="01D2152D" w14:textId="77777777" w:rsidR="005457B2" w:rsidRPr="00D467A8" w:rsidRDefault="005457B2" w:rsidP="00397223">
      <w:pPr>
        <w:rPr>
          <w:rFonts w:ascii="Calibri" w:hAnsi="Calibri" w:cs="Times New Roman"/>
          <w:b/>
          <w:color w:val="001E60"/>
          <w:szCs w:val="28"/>
        </w:rPr>
      </w:pPr>
    </w:p>
    <w:p w14:paraId="5BB2A17F" w14:textId="77777777" w:rsidR="00397223" w:rsidRPr="00D467A8" w:rsidRDefault="00397223" w:rsidP="00397223">
      <w:pPr>
        <w:rPr>
          <w:rFonts w:ascii="Calibri" w:hAnsi="Calibri" w:cs="Times New Roman"/>
          <w:b/>
          <w:color w:val="001E60"/>
          <w:szCs w:val="28"/>
        </w:rPr>
      </w:pPr>
    </w:p>
    <w:p w14:paraId="6EEA6425" w14:textId="77777777" w:rsidR="000965C2" w:rsidRPr="00D467A8" w:rsidRDefault="000965C2" w:rsidP="00D12403">
      <w:pPr>
        <w:pStyle w:val="MSBODYCOPY"/>
        <w:rPr>
          <w:rFonts w:ascii="Calibri-Bold" w:hAnsi="Calibri-Bold" w:cs="Calibri-Bold"/>
          <w:b/>
          <w:bCs/>
          <w:color w:val="0C2340"/>
          <w:sz w:val="22"/>
        </w:rPr>
      </w:pPr>
    </w:p>
    <w:p w14:paraId="459AC511" w14:textId="77777777" w:rsidR="00AF677A" w:rsidRPr="00D467A8" w:rsidRDefault="00AF677A" w:rsidP="00D12403">
      <w:pPr>
        <w:pStyle w:val="MSBODYCOPY"/>
        <w:rPr>
          <w:rFonts w:ascii="Calibri-Bold" w:hAnsi="Calibri-Bold" w:cs="Calibri-Bold"/>
          <w:b/>
          <w:bCs/>
          <w:color w:val="0C2340"/>
          <w:sz w:val="22"/>
        </w:rPr>
      </w:pPr>
    </w:p>
    <w:p w14:paraId="0E97793A" w14:textId="77777777" w:rsidR="00AF677A" w:rsidRPr="00D467A8" w:rsidRDefault="00AF677A" w:rsidP="00D12403">
      <w:pPr>
        <w:pStyle w:val="MSBODYCOPY"/>
        <w:rPr>
          <w:rFonts w:ascii="Calibri-Bold" w:hAnsi="Calibri-Bold" w:cs="Calibri-Bold"/>
          <w:b/>
          <w:bCs/>
          <w:color w:val="0C2340"/>
          <w:sz w:val="22"/>
        </w:rPr>
      </w:pPr>
    </w:p>
    <w:p w14:paraId="116BCCBD" w14:textId="77777777" w:rsidR="00AF677A" w:rsidRPr="00D467A8" w:rsidRDefault="00AF677A" w:rsidP="00D12403">
      <w:pPr>
        <w:pStyle w:val="MSBODYCOPY"/>
        <w:rPr>
          <w:rFonts w:ascii="Calibri-Bold" w:hAnsi="Calibri-Bold" w:cs="Calibri-Bold"/>
          <w:b/>
          <w:bCs/>
          <w:color w:val="0C2340"/>
          <w:sz w:val="22"/>
        </w:rPr>
      </w:pPr>
    </w:p>
    <w:p w14:paraId="3110C592" w14:textId="3814A25E" w:rsidR="000965C2" w:rsidRPr="002B61E9" w:rsidRDefault="00A90BE1" w:rsidP="00795DE5">
      <w:pPr>
        <w:rPr>
          <w:rFonts w:asciiTheme="majorHAnsi" w:hAnsiTheme="majorHAnsi" w:cstheme="majorHAnsi"/>
          <w:b/>
          <w:sz w:val="28"/>
          <w:szCs w:val="22"/>
        </w:rPr>
      </w:pPr>
      <w:r w:rsidRPr="002B61E9">
        <w:rPr>
          <w:rFonts w:asciiTheme="majorHAnsi" w:hAnsiTheme="majorHAnsi" w:cstheme="majorHAnsi"/>
          <w:b/>
          <w:sz w:val="28"/>
          <w:szCs w:val="22"/>
        </w:rPr>
        <w:t>Academic and</w:t>
      </w:r>
      <w:r w:rsidR="000965C2" w:rsidRPr="002B61E9">
        <w:rPr>
          <w:rFonts w:asciiTheme="majorHAnsi" w:hAnsiTheme="majorHAnsi" w:cstheme="majorHAnsi"/>
          <w:b/>
          <w:sz w:val="28"/>
          <w:szCs w:val="22"/>
        </w:rPr>
        <w:t xml:space="preserve"> Student Affairs</w:t>
      </w:r>
    </w:p>
    <w:p w14:paraId="6B783BB1" w14:textId="77777777" w:rsidR="000965C2" w:rsidRPr="002B61E9" w:rsidRDefault="000965C2" w:rsidP="00795DE5">
      <w:pPr>
        <w:rPr>
          <w:rFonts w:asciiTheme="majorHAnsi" w:hAnsiTheme="majorHAnsi" w:cstheme="majorHAnsi"/>
          <w:sz w:val="22"/>
          <w:szCs w:val="22"/>
        </w:rPr>
      </w:pPr>
    </w:p>
    <w:p w14:paraId="7E96E457" w14:textId="736CE6D3" w:rsidR="000965C2" w:rsidRPr="002B61E9" w:rsidRDefault="000E71BB" w:rsidP="00FF7EBE">
      <w:pPr>
        <w:tabs>
          <w:tab w:val="left" w:pos="990"/>
        </w:tabs>
        <w:rPr>
          <w:rFonts w:asciiTheme="majorHAnsi" w:hAnsiTheme="majorHAnsi" w:cstheme="majorHAnsi"/>
          <w:sz w:val="22"/>
          <w:szCs w:val="22"/>
        </w:rPr>
      </w:pPr>
      <w:r w:rsidRPr="002B61E9">
        <w:rPr>
          <w:rFonts w:asciiTheme="majorHAnsi" w:hAnsiTheme="majorHAnsi" w:cstheme="majorHAnsi"/>
          <w:b/>
          <w:sz w:val="22"/>
          <w:szCs w:val="22"/>
        </w:rPr>
        <w:t>DATE:</w:t>
      </w:r>
      <w:r w:rsidR="000965C2" w:rsidRPr="002B61E9">
        <w:rPr>
          <w:rFonts w:asciiTheme="majorHAnsi" w:hAnsiTheme="majorHAnsi" w:cstheme="majorHAnsi"/>
          <w:sz w:val="22"/>
          <w:szCs w:val="22"/>
        </w:rPr>
        <w:tab/>
      </w:r>
      <w:r w:rsidR="00B6283A">
        <w:rPr>
          <w:rFonts w:asciiTheme="majorHAnsi" w:hAnsiTheme="majorHAnsi" w:cstheme="majorHAnsi"/>
          <w:sz w:val="22"/>
          <w:szCs w:val="22"/>
        </w:rPr>
        <w:t xml:space="preserve">April </w:t>
      </w:r>
      <w:r w:rsidR="00934AD6">
        <w:rPr>
          <w:rFonts w:asciiTheme="majorHAnsi" w:hAnsiTheme="majorHAnsi" w:cstheme="majorHAnsi"/>
          <w:sz w:val="22"/>
          <w:szCs w:val="22"/>
        </w:rPr>
        <w:t>7</w:t>
      </w:r>
      <w:r w:rsidR="007D7B25" w:rsidRPr="002B61E9">
        <w:rPr>
          <w:rFonts w:asciiTheme="majorHAnsi" w:hAnsiTheme="majorHAnsi" w:cstheme="majorHAnsi"/>
          <w:sz w:val="22"/>
          <w:szCs w:val="22"/>
        </w:rPr>
        <w:t>, 2020</w:t>
      </w:r>
    </w:p>
    <w:p w14:paraId="7DC2E54C" w14:textId="77777777" w:rsidR="000E71BB" w:rsidRPr="002B61E9" w:rsidRDefault="000E71BB" w:rsidP="00FF7EBE">
      <w:pPr>
        <w:tabs>
          <w:tab w:val="left" w:pos="990"/>
        </w:tabs>
        <w:rPr>
          <w:rFonts w:asciiTheme="majorHAnsi" w:hAnsiTheme="majorHAnsi" w:cstheme="majorHAnsi"/>
          <w:sz w:val="22"/>
          <w:szCs w:val="22"/>
        </w:rPr>
      </w:pPr>
    </w:p>
    <w:p w14:paraId="38E39304" w14:textId="1F941078" w:rsidR="000E71BB" w:rsidRPr="002B61E9" w:rsidRDefault="000E71BB" w:rsidP="00FF7EBE">
      <w:pPr>
        <w:tabs>
          <w:tab w:val="left" w:pos="990"/>
        </w:tabs>
        <w:rPr>
          <w:rFonts w:asciiTheme="majorHAnsi" w:hAnsiTheme="majorHAnsi" w:cstheme="majorHAnsi"/>
          <w:sz w:val="22"/>
          <w:szCs w:val="22"/>
        </w:rPr>
      </w:pPr>
      <w:r w:rsidRPr="002B61E9">
        <w:rPr>
          <w:rFonts w:asciiTheme="majorHAnsi" w:hAnsiTheme="majorHAnsi" w:cstheme="majorHAnsi"/>
          <w:b/>
          <w:sz w:val="22"/>
          <w:szCs w:val="22"/>
        </w:rPr>
        <w:t>TO:</w:t>
      </w:r>
      <w:r w:rsidR="000965C2" w:rsidRPr="002B61E9">
        <w:rPr>
          <w:rFonts w:asciiTheme="majorHAnsi" w:hAnsiTheme="majorHAnsi" w:cstheme="majorHAnsi"/>
          <w:sz w:val="22"/>
          <w:szCs w:val="22"/>
        </w:rPr>
        <w:tab/>
      </w:r>
      <w:r w:rsidR="00265B3E" w:rsidRPr="002B61E9">
        <w:rPr>
          <w:rFonts w:asciiTheme="majorHAnsi" w:hAnsiTheme="majorHAnsi" w:cstheme="majorHAnsi"/>
          <w:sz w:val="22"/>
          <w:szCs w:val="22"/>
        </w:rPr>
        <w:t>Presidents</w:t>
      </w:r>
    </w:p>
    <w:p w14:paraId="0D8BC46B" w14:textId="27B20939" w:rsidR="000965C2" w:rsidRPr="002B61E9" w:rsidRDefault="000965C2" w:rsidP="00FF7EBE">
      <w:pPr>
        <w:tabs>
          <w:tab w:val="left" w:pos="990"/>
        </w:tabs>
        <w:rPr>
          <w:rFonts w:asciiTheme="majorHAnsi" w:hAnsiTheme="majorHAnsi" w:cstheme="majorHAnsi"/>
          <w:sz w:val="22"/>
          <w:szCs w:val="22"/>
        </w:rPr>
      </w:pPr>
    </w:p>
    <w:p w14:paraId="45FAE6AE" w14:textId="2C7B11F5" w:rsidR="000E71BB" w:rsidRPr="002B61E9" w:rsidRDefault="0048679B" w:rsidP="00FF7EBE">
      <w:pPr>
        <w:tabs>
          <w:tab w:val="left" w:pos="990"/>
        </w:tabs>
        <w:rPr>
          <w:rFonts w:asciiTheme="majorHAnsi" w:hAnsiTheme="majorHAnsi" w:cstheme="majorHAnsi"/>
          <w:sz w:val="22"/>
          <w:szCs w:val="22"/>
        </w:rPr>
      </w:pPr>
      <w:r w:rsidRPr="002B61E9">
        <w:rPr>
          <w:rFonts w:asciiTheme="majorHAnsi" w:hAnsiTheme="majorHAnsi" w:cstheme="majorHAnsi"/>
          <w:b/>
          <w:sz w:val="22"/>
          <w:szCs w:val="22"/>
        </w:rPr>
        <w:t>FROM:</w:t>
      </w:r>
      <w:r w:rsidR="000965C2" w:rsidRPr="002B61E9">
        <w:rPr>
          <w:rFonts w:asciiTheme="majorHAnsi" w:hAnsiTheme="majorHAnsi" w:cstheme="majorHAnsi"/>
          <w:sz w:val="22"/>
          <w:szCs w:val="22"/>
        </w:rPr>
        <w:tab/>
        <w:t xml:space="preserve">Ron Anderson, </w:t>
      </w:r>
      <w:r w:rsidR="002A4714" w:rsidRPr="002B61E9">
        <w:rPr>
          <w:rFonts w:asciiTheme="majorHAnsi" w:hAnsiTheme="majorHAnsi" w:cstheme="majorHAnsi"/>
          <w:sz w:val="22"/>
          <w:szCs w:val="22"/>
        </w:rPr>
        <w:t xml:space="preserve">Senior </w:t>
      </w:r>
      <w:r w:rsidR="000965C2" w:rsidRPr="002B61E9">
        <w:rPr>
          <w:rFonts w:asciiTheme="majorHAnsi" w:hAnsiTheme="majorHAnsi" w:cstheme="majorHAnsi"/>
          <w:sz w:val="22"/>
          <w:szCs w:val="22"/>
        </w:rPr>
        <w:t>Vice Chancellor for Academic and Student Affairs</w:t>
      </w:r>
    </w:p>
    <w:p w14:paraId="457088B0" w14:textId="77777777" w:rsidR="000E71BB" w:rsidRPr="002B61E9" w:rsidRDefault="000E71BB" w:rsidP="00FF7EBE">
      <w:pPr>
        <w:tabs>
          <w:tab w:val="left" w:pos="990"/>
        </w:tabs>
        <w:rPr>
          <w:rFonts w:asciiTheme="majorHAnsi" w:hAnsiTheme="majorHAnsi" w:cstheme="majorHAnsi"/>
          <w:sz w:val="22"/>
          <w:szCs w:val="22"/>
          <w:u w:val="single"/>
        </w:rPr>
      </w:pPr>
    </w:p>
    <w:p w14:paraId="09389BDC" w14:textId="38DEC55E" w:rsidR="000E71BB" w:rsidRPr="002B61E9" w:rsidRDefault="000E71BB" w:rsidP="00FF7EBE">
      <w:pPr>
        <w:tabs>
          <w:tab w:val="left" w:pos="990"/>
        </w:tabs>
        <w:rPr>
          <w:rFonts w:asciiTheme="majorHAnsi" w:hAnsiTheme="majorHAnsi" w:cstheme="majorHAnsi"/>
          <w:sz w:val="22"/>
          <w:szCs w:val="22"/>
        </w:rPr>
      </w:pPr>
      <w:r w:rsidRPr="002B61E9">
        <w:rPr>
          <w:rFonts w:asciiTheme="majorHAnsi" w:hAnsiTheme="majorHAnsi" w:cstheme="majorHAnsi"/>
          <w:b/>
          <w:sz w:val="22"/>
          <w:szCs w:val="22"/>
        </w:rPr>
        <w:t>SUBJECT:</w:t>
      </w:r>
      <w:r w:rsidR="000965C2" w:rsidRPr="002B61E9">
        <w:rPr>
          <w:rFonts w:asciiTheme="majorHAnsi" w:hAnsiTheme="majorHAnsi" w:cstheme="majorHAnsi"/>
          <w:sz w:val="22"/>
          <w:szCs w:val="22"/>
        </w:rPr>
        <w:tab/>
      </w:r>
      <w:r w:rsidR="000E5E29" w:rsidRPr="0004627E">
        <w:rPr>
          <w:rFonts w:asciiTheme="majorHAnsi" w:hAnsiTheme="majorHAnsi" w:cstheme="majorHAnsi"/>
          <w:color w:val="00B050"/>
          <w:sz w:val="22"/>
          <w:szCs w:val="22"/>
        </w:rPr>
        <w:t xml:space="preserve">REVISED GUIDANCE </w:t>
      </w:r>
      <w:r w:rsidR="000E5E29" w:rsidRPr="000E5E29">
        <w:rPr>
          <w:rFonts w:asciiTheme="majorHAnsi" w:hAnsiTheme="majorHAnsi" w:cstheme="majorHAnsi"/>
          <w:color w:val="000000" w:themeColor="text1"/>
          <w:sz w:val="22"/>
          <w:szCs w:val="22"/>
        </w:rPr>
        <w:t xml:space="preserve">– </w:t>
      </w:r>
      <w:r w:rsidR="004205FC">
        <w:rPr>
          <w:rFonts w:asciiTheme="majorHAnsi" w:hAnsiTheme="majorHAnsi" w:cstheme="majorHAnsi"/>
          <w:sz w:val="22"/>
          <w:szCs w:val="22"/>
        </w:rPr>
        <w:t xml:space="preserve">Course Placement </w:t>
      </w:r>
      <w:r w:rsidR="000E5E29">
        <w:rPr>
          <w:rFonts w:asciiTheme="majorHAnsi" w:hAnsiTheme="majorHAnsi" w:cstheme="majorHAnsi"/>
          <w:sz w:val="22"/>
          <w:szCs w:val="22"/>
        </w:rPr>
        <w:t>Testing under COVID-19</w:t>
      </w:r>
    </w:p>
    <w:p w14:paraId="5BC00B2E" w14:textId="17E8A5BF" w:rsidR="008E10AB" w:rsidRPr="002B61E9" w:rsidRDefault="008E10AB" w:rsidP="00795DE5">
      <w:pPr>
        <w:rPr>
          <w:rFonts w:asciiTheme="majorHAnsi" w:hAnsiTheme="majorHAnsi" w:cstheme="majorHAnsi"/>
          <w:sz w:val="22"/>
          <w:szCs w:val="22"/>
        </w:rPr>
      </w:pPr>
    </w:p>
    <w:p w14:paraId="63B28311" w14:textId="247619D4" w:rsidR="0034735D" w:rsidRDefault="0004627E" w:rsidP="00904F34">
      <w:pPr>
        <w:rPr>
          <w:rFonts w:asciiTheme="majorHAnsi" w:hAnsiTheme="majorHAnsi" w:cstheme="majorHAnsi"/>
          <w:sz w:val="22"/>
          <w:szCs w:val="22"/>
        </w:rPr>
      </w:pPr>
      <w:r>
        <w:rPr>
          <w:rFonts w:asciiTheme="majorHAnsi" w:hAnsiTheme="majorHAnsi" w:cstheme="majorHAnsi"/>
          <w:sz w:val="22"/>
          <w:szCs w:val="22"/>
        </w:rPr>
        <w:t>Due to changing conditions and the</w:t>
      </w:r>
      <w:r w:rsidR="00891026">
        <w:rPr>
          <w:rFonts w:asciiTheme="majorHAnsi" w:hAnsiTheme="majorHAnsi" w:cstheme="majorHAnsi"/>
          <w:sz w:val="22"/>
          <w:szCs w:val="22"/>
        </w:rPr>
        <w:t xml:space="preserve"> new</w:t>
      </w:r>
      <w:r>
        <w:rPr>
          <w:rFonts w:asciiTheme="majorHAnsi" w:hAnsiTheme="majorHAnsi" w:cstheme="majorHAnsi"/>
          <w:sz w:val="22"/>
          <w:szCs w:val="22"/>
        </w:rPr>
        <w:t xml:space="preserve"> availability of no-cost remote proctoring of the ACCUPLACER, previous guidance issued on March 24, 2020 has been revised as outlined below.</w:t>
      </w:r>
    </w:p>
    <w:p w14:paraId="2B7BA8E5" w14:textId="77777777" w:rsidR="0034735D" w:rsidRDefault="0034735D" w:rsidP="00904F34">
      <w:pPr>
        <w:rPr>
          <w:rFonts w:asciiTheme="majorHAnsi" w:hAnsiTheme="majorHAnsi" w:cstheme="majorHAnsi"/>
          <w:sz w:val="22"/>
          <w:szCs w:val="22"/>
        </w:rPr>
      </w:pPr>
    </w:p>
    <w:p w14:paraId="570822D6" w14:textId="16C43B64" w:rsidR="0034735D" w:rsidRDefault="0004627E" w:rsidP="00904F34">
      <w:pPr>
        <w:rPr>
          <w:rFonts w:asciiTheme="majorHAnsi" w:hAnsiTheme="majorHAnsi" w:cstheme="majorHAnsi"/>
          <w:sz w:val="22"/>
          <w:szCs w:val="22"/>
        </w:rPr>
      </w:pPr>
      <w:r>
        <w:rPr>
          <w:rFonts w:asciiTheme="majorHAnsi" w:hAnsiTheme="majorHAnsi" w:cstheme="majorHAnsi"/>
          <w:sz w:val="22"/>
          <w:szCs w:val="22"/>
        </w:rPr>
        <w:t>As before, t</w:t>
      </w:r>
      <w:r w:rsidR="0034735D" w:rsidRPr="002B61E9">
        <w:rPr>
          <w:rFonts w:asciiTheme="majorHAnsi" w:hAnsiTheme="majorHAnsi" w:cstheme="majorHAnsi"/>
          <w:sz w:val="22"/>
          <w:szCs w:val="22"/>
        </w:rPr>
        <w:t>his guidance applies to all students who do not currently have a valid course placement on record. Students who already have a valid course placement on record and wish to have that placement re-evaluated should follow the guidance provided in the relevant section below.</w:t>
      </w:r>
    </w:p>
    <w:p w14:paraId="5A7CCF2B" w14:textId="77777777" w:rsidR="0034735D" w:rsidRDefault="0034735D" w:rsidP="00904F34">
      <w:pPr>
        <w:rPr>
          <w:rFonts w:asciiTheme="majorHAnsi" w:hAnsiTheme="majorHAnsi" w:cstheme="majorHAnsi"/>
          <w:sz w:val="22"/>
          <w:szCs w:val="22"/>
        </w:rPr>
      </w:pPr>
    </w:p>
    <w:p w14:paraId="3ED294F6" w14:textId="3F63FBF3" w:rsidR="002B61E9" w:rsidRPr="002B61E9" w:rsidRDefault="0034735D" w:rsidP="00904F34">
      <w:pPr>
        <w:rPr>
          <w:rFonts w:asciiTheme="majorHAnsi" w:hAnsiTheme="majorHAnsi" w:cstheme="majorHAnsi"/>
          <w:sz w:val="22"/>
          <w:szCs w:val="22"/>
        </w:rPr>
      </w:pPr>
      <w:r>
        <w:rPr>
          <w:rFonts w:asciiTheme="majorHAnsi" w:hAnsiTheme="majorHAnsi" w:cstheme="majorHAnsi"/>
          <w:sz w:val="22"/>
          <w:szCs w:val="22"/>
        </w:rPr>
        <w:t>This</w:t>
      </w:r>
      <w:r w:rsidR="002B61E9" w:rsidRPr="002B61E9">
        <w:rPr>
          <w:rFonts w:asciiTheme="majorHAnsi" w:hAnsiTheme="majorHAnsi" w:cstheme="majorHAnsi"/>
          <w:sz w:val="22"/>
          <w:szCs w:val="22"/>
        </w:rPr>
        <w:t xml:space="preserve"> </w:t>
      </w:r>
      <w:r w:rsidR="004205FC">
        <w:rPr>
          <w:rFonts w:asciiTheme="majorHAnsi" w:hAnsiTheme="majorHAnsi" w:cstheme="majorHAnsi"/>
          <w:sz w:val="22"/>
          <w:szCs w:val="22"/>
        </w:rPr>
        <w:t>directive</w:t>
      </w:r>
      <w:r w:rsidR="002B61E9" w:rsidRPr="002B61E9">
        <w:rPr>
          <w:rFonts w:asciiTheme="majorHAnsi" w:hAnsiTheme="majorHAnsi" w:cstheme="majorHAnsi"/>
          <w:sz w:val="22"/>
          <w:szCs w:val="22"/>
        </w:rPr>
        <w:t xml:space="preserve"> is effective immediately</w:t>
      </w:r>
      <w:r w:rsidR="0004627E">
        <w:rPr>
          <w:rFonts w:asciiTheme="majorHAnsi" w:hAnsiTheme="majorHAnsi" w:cstheme="majorHAnsi"/>
          <w:sz w:val="22"/>
          <w:szCs w:val="22"/>
        </w:rPr>
        <w:t xml:space="preserve">, supersedes previous guidance, and </w:t>
      </w:r>
      <w:r w:rsidR="002B61E9" w:rsidRPr="002B61E9">
        <w:rPr>
          <w:rFonts w:asciiTheme="majorHAnsi" w:hAnsiTheme="majorHAnsi" w:cstheme="majorHAnsi"/>
          <w:sz w:val="22"/>
          <w:szCs w:val="22"/>
        </w:rPr>
        <w:t>will remain in effect until withdrawn by the Chancellor.</w:t>
      </w:r>
    </w:p>
    <w:p w14:paraId="2FA9883F" w14:textId="79C57908" w:rsidR="002B61E9" w:rsidRPr="00193754" w:rsidRDefault="002B61E9" w:rsidP="00904F34">
      <w:pPr>
        <w:rPr>
          <w:rFonts w:asciiTheme="majorHAnsi" w:hAnsiTheme="majorHAnsi" w:cstheme="majorHAnsi"/>
          <w:b/>
          <w:bCs/>
          <w:color w:val="00B050"/>
          <w:sz w:val="28"/>
          <w:szCs w:val="22"/>
        </w:rPr>
      </w:pPr>
    </w:p>
    <w:p w14:paraId="15DC9B6D" w14:textId="328F20CE" w:rsidR="002B61E9" w:rsidRPr="0004627E" w:rsidRDefault="002B61E9" w:rsidP="00904F34">
      <w:pPr>
        <w:rPr>
          <w:rFonts w:asciiTheme="majorHAnsi" w:hAnsiTheme="majorHAnsi" w:cstheme="majorHAnsi"/>
          <w:b/>
          <w:bCs/>
          <w:color w:val="00B050"/>
          <w:sz w:val="22"/>
          <w:szCs w:val="22"/>
        </w:rPr>
      </w:pPr>
      <w:r w:rsidRPr="0004627E">
        <w:rPr>
          <w:rFonts w:asciiTheme="majorHAnsi" w:hAnsiTheme="majorHAnsi" w:cstheme="majorHAnsi"/>
          <w:b/>
          <w:bCs/>
          <w:color w:val="00B050"/>
          <w:sz w:val="22"/>
          <w:szCs w:val="22"/>
        </w:rPr>
        <w:t>General Student Population</w:t>
      </w:r>
      <w:r w:rsidR="00B6283A" w:rsidRPr="0004627E">
        <w:rPr>
          <w:rFonts w:asciiTheme="majorHAnsi" w:hAnsiTheme="majorHAnsi" w:cstheme="majorHAnsi"/>
          <w:b/>
          <w:bCs/>
          <w:color w:val="00B050"/>
          <w:sz w:val="22"/>
          <w:szCs w:val="22"/>
        </w:rPr>
        <w:t xml:space="preserve"> (</w:t>
      </w:r>
      <w:r w:rsidR="0004627E" w:rsidRPr="0004627E">
        <w:rPr>
          <w:rFonts w:asciiTheme="majorHAnsi" w:hAnsiTheme="majorHAnsi" w:cstheme="majorHAnsi"/>
          <w:b/>
          <w:bCs/>
          <w:color w:val="00B050"/>
          <w:sz w:val="22"/>
          <w:szCs w:val="22"/>
        </w:rPr>
        <w:t>REVISED</w:t>
      </w:r>
      <w:r w:rsidR="00B6283A" w:rsidRPr="0004627E">
        <w:rPr>
          <w:rFonts w:asciiTheme="majorHAnsi" w:hAnsiTheme="majorHAnsi" w:cstheme="majorHAnsi"/>
          <w:b/>
          <w:bCs/>
          <w:color w:val="00B050"/>
          <w:sz w:val="22"/>
          <w:szCs w:val="22"/>
        </w:rPr>
        <w:t>)</w:t>
      </w:r>
    </w:p>
    <w:p w14:paraId="4B436376" w14:textId="77777777" w:rsidR="002B61E9" w:rsidRPr="0004627E" w:rsidRDefault="002B61E9" w:rsidP="00904F34">
      <w:pPr>
        <w:rPr>
          <w:rFonts w:asciiTheme="majorHAnsi" w:hAnsiTheme="majorHAnsi" w:cstheme="majorHAnsi"/>
          <w:sz w:val="22"/>
          <w:szCs w:val="22"/>
        </w:rPr>
      </w:pPr>
      <w:r w:rsidRPr="0004627E">
        <w:rPr>
          <w:rFonts w:asciiTheme="majorHAnsi" w:hAnsiTheme="majorHAnsi" w:cstheme="majorHAnsi"/>
          <w:sz w:val="22"/>
          <w:szCs w:val="22"/>
        </w:rPr>
        <w:t xml:space="preserve">Colleges and universities shall use </w:t>
      </w:r>
      <w:r w:rsidRPr="0004627E">
        <w:rPr>
          <w:rFonts w:asciiTheme="majorHAnsi" w:hAnsiTheme="majorHAnsi" w:cstheme="majorHAnsi"/>
          <w:b/>
          <w:bCs/>
          <w:sz w:val="22"/>
          <w:szCs w:val="22"/>
        </w:rPr>
        <w:t>one or more</w:t>
      </w:r>
      <w:r w:rsidRPr="0004627E">
        <w:rPr>
          <w:rFonts w:asciiTheme="majorHAnsi" w:hAnsiTheme="majorHAnsi" w:cstheme="majorHAnsi"/>
          <w:sz w:val="22"/>
          <w:szCs w:val="22"/>
        </w:rPr>
        <w:t xml:space="preserve"> of the following placement measures to determine a student’s course placement within reading, writing, and mathematics:</w:t>
      </w:r>
    </w:p>
    <w:p w14:paraId="2192B1A9" w14:textId="4BEAE671" w:rsidR="007A3A6D" w:rsidRPr="0004627E" w:rsidRDefault="007A3A6D" w:rsidP="00904F34">
      <w:pPr>
        <w:pStyle w:val="ListParagraph"/>
        <w:numPr>
          <w:ilvl w:val="0"/>
          <w:numId w:val="8"/>
        </w:numPr>
        <w:contextualSpacing w:val="0"/>
        <w:rPr>
          <w:rFonts w:asciiTheme="majorHAnsi" w:hAnsiTheme="majorHAnsi" w:cstheme="majorHAnsi"/>
          <w:sz w:val="22"/>
          <w:szCs w:val="22"/>
        </w:rPr>
      </w:pPr>
      <w:r w:rsidRPr="0004627E">
        <w:rPr>
          <w:rFonts w:asciiTheme="majorHAnsi" w:hAnsiTheme="majorHAnsi" w:cstheme="majorHAnsi"/>
          <w:sz w:val="22"/>
          <w:szCs w:val="22"/>
        </w:rPr>
        <w:t>Documentation of successful completion of a college-level course in the area for which the course placement score is used.</w:t>
      </w:r>
    </w:p>
    <w:p w14:paraId="07320C23" w14:textId="77777777" w:rsidR="0004627E" w:rsidRDefault="0004627E" w:rsidP="0004627E">
      <w:pPr>
        <w:spacing w:before="120" w:after="120"/>
        <w:ind w:left="360" w:firstLine="360"/>
        <w:rPr>
          <w:rFonts w:asciiTheme="majorHAnsi" w:hAnsiTheme="majorHAnsi" w:cstheme="majorHAnsi"/>
          <w:b/>
          <w:i/>
          <w:sz w:val="22"/>
          <w:szCs w:val="22"/>
        </w:rPr>
      </w:pPr>
      <w:r w:rsidRPr="00904F34">
        <w:rPr>
          <w:rFonts w:asciiTheme="majorHAnsi" w:hAnsiTheme="majorHAnsi" w:cstheme="majorHAnsi"/>
          <w:b/>
          <w:i/>
          <w:sz w:val="22"/>
          <w:szCs w:val="22"/>
        </w:rPr>
        <w:t>and/or</w:t>
      </w:r>
    </w:p>
    <w:p w14:paraId="734B8EEA" w14:textId="0C2C7BB6" w:rsidR="002B61E9" w:rsidRPr="002B61E9" w:rsidRDefault="002B61E9" w:rsidP="00904F34">
      <w:pPr>
        <w:pStyle w:val="ListParagraph"/>
        <w:numPr>
          <w:ilvl w:val="0"/>
          <w:numId w:val="8"/>
        </w:numPr>
        <w:contextualSpacing w:val="0"/>
        <w:rPr>
          <w:rFonts w:asciiTheme="majorHAnsi" w:hAnsiTheme="majorHAnsi" w:cstheme="majorHAnsi"/>
          <w:sz w:val="22"/>
          <w:szCs w:val="22"/>
        </w:rPr>
      </w:pPr>
      <w:r w:rsidRPr="002B61E9">
        <w:rPr>
          <w:rFonts w:asciiTheme="majorHAnsi" w:hAnsiTheme="majorHAnsi" w:cstheme="majorHAnsi"/>
          <w:sz w:val="22"/>
          <w:szCs w:val="22"/>
        </w:rPr>
        <w:t>Eligible ACT, SAT, and/or MCA scores</w:t>
      </w:r>
    </w:p>
    <w:p w14:paraId="34B69A2C" w14:textId="5B601E7F" w:rsidR="002B61E9" w:rsidRDefault="002B61E9" w:rsidP="00904F34">
      <w:pPr>
        <w:pStyle w:val="ListParagraph"/>
        <w:numPr>
          <w:ilvl w:val="1"/>
          <w:numId w:val="8"/>
        </w:numPr>
        <w:contextualSpacing w:val="0"/>
        <w:rPr>
          <w:rFonts w:asciiTheme="majorHAnsi" w:hAnsiTheme="majorHAnsi" w:cstheme="majorHAnsi"/>
          <w:sz w:val="22"/>
          <w:szCs w:val="22"/>
        </w:rPr>
      </w:pPr>
      <w:r w:rsidRPr="002B61E9">
        <w:rPr>
          <w:rFonts w:asciiTheme="majorHAnsi" w:hAnsiTheme="majorHAnsi" w:cstheme="majorHAnsi"/>
          <w:sz w:val="22"/>
          <w:szCs w:val="22"/>
        </w:rPr>
        <w:t>All validity windows apply as outlined within System Procedure 3.3.1.</w:t>
      </w:r>
    </w:p>
    <w:p w14:paraId="72227E73" w14:textId="04596809" w:rsidR="003A17D2" w:rsidRDefault="00904F34" w:rsidP="003A17D2">
      <w:pPr>
        <w:spacing w:before="120" w:after="120"/>
        <w:ind w:left="360" w:firstLine="360"/>
        <w:rPr>
          <w:rFonts w:asciiTheme="majorHAnsi" w:hAnsiTheme="majorHAnsi" w:cstheme="majorHAnsi"/>
          <w:b/>
          <w:i/>
          <w:sz w:val="22"/>
          <w:szCs w:val="22"/>
        </w:rPr>
      </w:pPr>
      <w:r w:rsidRPr="00904F34">
        <w:rPr>
          <w:rFonts w:asciiTheme="majorHAnsi" w:hAnsiTheme="majorHAnsi" w:cstheme="majorHAnsi"/>
          <w:b/>
          <w:i/>
          <w:sz w:val="22"/>
          <w:szCs w:val="22"/>
        </w:rPr>
        <w:t>and/or</w:t>
      </w:r>
    </w:p>
    <w:p w14:paraId="4F1095FA" w14:textId="77777777" w:rsidR="003A17D2" w:rsidRPr="00FF640E" w:rsidRDefault="003A17D2" w:rsidP="003A17D2">
      <w:pPr>
        <w:pStyle w:val="ListParagraph"/>
        <w:numPr>
          <w:ilvl w:val="0"/>
          <w:numId w:val="8"/>
        </w:numPr>
        <w:contextualSpacing w:val="0"/>
        <w:rPr>
          <w:rFonts w:asciiTheme="majorHAnsi" w:hAnsiTheme="majorHAnsi" w:cstheme="majorHAnsi"/>
          <w:sz w:val="22"/>
          <w:szCs w:val="22"/>
        </w:rPr>
      </w:pPr>
      <w:r w:rsidRPr="002B61E9">
        <w:rPr>
          <w:rFonts w:asciiTheme="majorHAnsi" w:hAnsiTheme="majorHAnsi" w:cstheme="majorHAnsi"/>
          <w:sz w:val="22"/>
          <w:szCs w:val="22"/>
        </w:rPr>
        <w:t>Eligible ACCUPLACER scores (i.e., Classic or Next Generation ACCUPLACER).</w:t>
      </w:r>
    </w:p>
    <w:p w14:paraId="4A56691E" w14:textId="77777777" w:rsidR="003A17D2" w:rsidRPr="0004627E" w:rsidRDefault="003A17D2" w:rsidP="003A17D2">
      <w:pPr>
        <w:pStyle w:val="ListParagraph"/>
        <w:numPr>
          <w:ilvl w:val="1"/>
          <w:numId w:val="8"/>
        </w:numPr>
        <w:contextualSpacing w:val="0"/>
        <w:rPr>
          <w:rFonts w:asciiTheme="majorHAnsi" w:hAnsiTheme="majorHAnsi" w:cstheme="majorHAnsi"/>
          <w:sz w:val="22"/>
          <w:szCs w:val="22"/>
        </w:rPr>
      </w:pPr>
      <w:r>
        <w:rPr>
          <w:rFonts w:asciiTheme="majorHAnsi" w:hAnsiTheme="majorHAnsi" w:cstheme="majorHAnsi"/>
          <w:sz w:val="22"/>
          <w:szCs w:val="22"/>
        </w:rPr>
        <w:t xml:space="preserve">Scores already on file may be used. </w:t>
      </w:r>
      <w:r w:rsidRPr="002B61E9">
        <w:rPr>
          <w:rFonts w:asciiTheme="majorHAnsi" w:hAnsiTheme="majorHAnsi" w:cstheme="majorHAnsi"/>
          <w:sz w:val="22"/>
          <w:szCs w:val="22"/>
        </w:rPr>
        <w:t xml:space="preserve">All benchmarks and validity windows apply as </w:t>
      </w:r>
      <w:r w:rsidRPr="0004627E">
        <w:rPr>
          <w:rFonts w:asciiTheme="majorHAnsi" w:hAnsiTheme="majorHAnsi" w:cstheme="majorHAnsi"/>
          <w:sz w:val="22"/>
          <w:szCs w:val="22"/>
        </w:rPr>
        <w:t>outlined within System Procedure 3.3.1.</w:t>
      </w:r>
    </w:p>
    <w:p w14:paraId="21FB0E4C" w14:textId="050B2939" w:rsidR="00C20938" w:rsidRPr="0004627E" w:rsidRDefault="003A17D2" w:rsidP="003A17D2">
      <w:pPr>
        <w:pStyle w:val="ListParagraph"/>
        <w:numPr>
          <w:ilvl w:val="1"/>
          <w:numId w:val="8"/>
        </w:numPr>
        <w:contextualSpacing w:val="0"/>
        <w:rPr>
          <w:rFonts w:asciiTheme="majorHAnsi" w:hAnsiTheme="majorHAnsi" w:cstheme="majorHAnsi"/>
          <w:sz w:val="22"/>
          <w:szCs w:val="22"/>
        </w:rPr>
      </w:pPr>
      <w:r w:rsidRPr="0004627E">
        <w:rPr>
          <w:rFonts w:asciiTheme="majorHAnsi" w:hAnsiTheme="majorHAnsi" w:cstheme="majorHAnsi"/>
          <w:sz w:val="22"/>
          <w:szCs w:val="22"/>
        </w:rPr>
        <w:t xml:space="preserve">Remote proctoring of the Next Generation ACCUPLACER </w:t>
      </w:r>
      <w:r w:rsidR="00C20938" w:rsidRPr="0004627E">
        <w:rPr>
          <w:rFonts w:asciiTheme="majorHAnsi" w:hAnsiTheme="majorHAnsi" w:cstheme="majorHAnsi"/>
          <w:sz w:val="22"/>
          <w:szCs w:val="22"/>
        </w:rPr>
        <w:t>is now available through a video/chat conferencing service such as Zoom as outlined by The College Board</w:t>
      </w:r>
      <w:r w:rsidR="00327627" w:rsidRPr="0004627E">
        <w:rPr>
          <w:rFonts w:asciiTheme="majorHAnsi" w:hAnsiTheme="majorHAnsi" w:cstheme="majorHAnsi"/>
          <w:sz w:val="22"/>
          <w:szCs w:val="22"/>
        </w:rPr>
        <w:t xml:space="preserve"> (see attachments)</w:t>
      </w:r>
      <w:r w:rsidR="00C20938" w:rsidRPr="0004627E">
        <w:rPr>
          <w:rFonts w:asciiTheme="majorHAnsi" w:hAnsiTheme="majorHAnsi" w:cstheme="majorHAnsi"/>
          <w:sz w:val="22"/>
          <w:szCs w:val="22"/>
        </w:rPr>
        <w:t xml:space="preserve">. </w:t>
      </w:r>
      <w:r w:rsidR="00327627" w:rsidRPr="0004627E">
        <w:rPr>
          <w:rFonts w:asciiTheme="majorHAnsi" w:hAnsiTheme="majorHAnsi" w:cstheme="majorHAnsi"/>
          <w:sz w:val="22"/>
          <w:szCs w:val="22"/>
        </w:rPr>
        <w:t>Due to bandwidth constraints,</w:t>
      </w:r>
      <w:r w:rsidR="00C20938" w:rsidRPr="0004627E">
        <w:rPr>
          <w:rFonts w:asciiTheme="majorHAnsi" w:hAnsiTheme="majorHAnsi" w:cstheme="majorHAnsi"/>
          <w:sz w:val="22"/>
          <w:szCs w:val="22"/>
        </w:rPr>
        <w:t xml:space="preserve"> remote proctoring is limited to 150 participants per session. To test, students will need access to the following:</w:t>
      </w:r>
    </w:p>
    <w:p w14:paraId="31D717E8" w14:textId="4B6BA45A" w:rsidR="00C20938" w:rsidRPr="0004627E" w:rsidRDefault="00C20938" w:rsidP="00C20938">
      <w:pPr>
        <w:pStyle w:val="ListParagraph"/>
        <w:numPr>
          <w:ilvl w:val="2"/>
          <w:numId w:val="8"/>
        </w:numPr>
        <w:contextualSpacing w:val="0"/>
        <w:rPr>
          <w:rFonts w:asciiTheme="majorHAnsi" w:hAnsiTheme="majorHAnsi" w:cstheme="majorHAnsi"/>
          <w:sz w:val="22"/>
          <w:szCs w:val="22"/>
        </w:rPr>
      </w:pPr>
      <w:r w:rsidRPr="0004627E">
        <w:rPr>
          <w:rFonts w:asciiTheme="majorHAnsi" w:hAnsiTheme="majorHAnsi" w:cstheme="majorHAnsi"/>
          <w:sz w:val="22"/>
          <w:szCs w:val="22"/>
        </w:rPr>
        <w:t>A computer (desktop or laptop)</w:t>
      </w:r>
    </w:p>
    <w:p w14:paraId="7B8CEF07" w14:textId="6A2A816F" w:rsidR="00C20938" w:rsidRPr="0004627E" w:rsidRDefault="00C20938" w:rsidP="00C20938">
      <w:pPr>
        <w:pStyle w:val="ListParagraph"/>
        <w:numPr>
          <w:ilvl w:val="2"/>
          <w:numId w:val="8"/>
        </w:numPr>
        <w:contextualSpacing w:val="0"/>
        <w:rPr>
          <w:rFonts w:asciiTheme="majorHAnsi" w:hAnsiTheme="majorHAnsi" w:cstheme="majorHAnsi"/>
          <w:sz w:val="22"/>
          <w:szCs w:val="22"/>
        </w:rPr>
      </w:pPr>
      <w:r w:rsidRPr="0004627E">
        <w:rPr>
          <w:rFonts w:asciiTheme="majorHAnsi" w:hAnsiTheme="majorHAnsi" w:cstheme="majorHAnsi"/>
          <w:sz w:val="22"/>
          <w:szCs w:val="22"/>
        </w:rPr>
        <w:t>Stable internet connection</w:t>
      </w:r>
    </w:p>
    <w:p w14:paraId="700B80CF" w14:textId="4C5DF422" w:rsidR="003A17D2" w:rsidRPr="0004627E" w:rsidRDefault="00C20938" w:rsidP="00C20938">
      <w:pPr>
        <w:pStyle w:val="ListParagraph"/>
        <w:numPr>
          <w:ilvl w:val="2"/>
          <w:numId w:val="8"/>
        </w:numPr>
        <w:contextualSpacing w:val="0"/>
        <w:rPr>
          <w:rFonts w:asciiTheme="majorHAnsi" w:hAnsiTheme="majorHAnsi" w:cstheme="majorHAnsi"/>
          <w:sz w:val="22"/>
          <w:szCs w:val="22"/>
        </w:rPr>
      </w:pPr>
      <w:r w:rsidRPr="0004627E">
        <w:rPr>
          <w:rFonts w:asciiTheme="majorHAnsi" w:hAnsiTheme="majorHAnsi" w:cstheme="majorHAnsi"/>
          <w:sz w:val="22"/>
          <w:szCs w:val="22"/>
        </w:rPr>
        <w:lastRenderedPageBreak/>
        <w:t>Webcam</w:t>
      </w:r>
    </w:p>
    <w:p w14:paraId="4E2B3E6A" w14:textId="7BB47CD3" w:rsidR="00C20938" w:rsidRPr="0004627E" w:rsidRDefault="00C20938" w:rsidP="00C20938">
      <w:pPr>
        <w:pStyle w:val="ListParagraph"/>
        <w:numPr>
          <w:ilvl w:val="2"/>
          <w:numId w:val="8"/>
        </w:numPr>
        <w:contextualSpacing w:val="0"/>
        <w:rPr>
          <w:rFonts w:asciiTheme="majorHAnsi" w:hAnsiTheme="majorHAnsi" w:cstheme="majorHAnsi"/>
          <w:sz w:val="22"/>
          <w:szCs w:val="22"/>
        </w:rPr>
      </w:pPr>
      <w:r w:rsidRPr="0004627E">
        <w:rPr>
          <w:rFonts w:asciiTheme="majorHAnsi" w:hAnsiTheme="majorHAnsi" w:cstheme="majorHAnsi"/>
          <w:sz w:val="22"/>
          <w:szCs w:val="22"/>
        </w:rPr>
        <w:t>Headset</w:t>
      </w:r>
    </w:p>
    <w:p w14:paraId="5625B45F" w14:textId="22CA9F23" w:rsidR="00C20938" w:rsidRPr="0004627E" w:rsidRDefault="00C20938" w:rsidP="00C20938">
      <w:pPr>
        <w:pStyle w:val="ListParagraph"/>
        <w:numPr>
          <w:ilvl w:val="2"/>
          <w:numId w:val="8"/>
        </w:numPr>
        <w:contextualSpacing w:val="0"/>
        <w:rPr>
          <w:rFonts w:asciiTheme="majorHAnsi" w:hAnsiTheme="majorHAnsi" w:cstheme="majorHAnsi"/>
          <w:sz w:val="22"/>
          <w:szCs w:val="22"/>
        </w:rPr>
      </w:pPr>
      <w:r w:rsidRPr="0004627E">
        <w:rPr>
          <w:rFonts w:asciiTheme="majorHAnsi" w:hAnsiTheme="majorHAnsi" w:cstheme="majorHAnsi"/>
          <w:sz w:val="22"/>
          <w:szCs w:val="22"/>
        </w:rPr>
        <w:t>Note that devices such as cell phones, Chromebooks, iPads, Surface, and other tablets, will not work.</w:t>
      </w:r>
    </w:p>
    <w:p w14:paraId="5247C227" w14:textId="369F67F6" w:rsidR="00C20938" w:rsidRPr="0004627E" w:rsidRDefault="00C20938" w:rsidP="003A5586">
      <w:pPr>
        <w:pStyle w:val="ListParagraph"/>
        <w:numPr>
          <w:ilvl w:val="1"/>
          <w:numId w:val="8"/>
        </w:numPr>
        <w:contextualSpacing w:val="0"/>
        <w:rPr>
          <w:rFonts w:asciiTheme="majorHAnsi" w:hAnsiTheme="majorHAnsi" w:cstheme="majorHAnsi"/>
          <w:sz w:val="22"/>
          <w:szCs w:val="22"/>
        </w:rPr>
      </w:pPr>
      <w:r w:rsidRPr="0004627E">
        <w:rPr>
          <w:rFonts w:asciiTheme="majorHAnsi" w:hAnsiTheme="majorHAnsi" w:cstheme="majorHAnsi"/>
          <w:sz w:val="22"/>
          <w:szCs w:val="22"/>
        </w:rPr>
        <w:t>Students who do not have access to the technology necessary to complete the ACCUPLACER via the approved remote proctoring process should be placed using their cumulative high school grade point average</w:t>
      </w:r>
      <w:r w:rsidR="00327627" w:rsidRPr="0004627E">
        <w:rPr>
          <w:rFonts w:asciiTheme="majorHAnsi" w:hAnsiTheme="majorHAnsi" w:cstheme="majorHAnsi"/>
          <w:sz w:val="22"/>
          <w:szCs w:val="22"/>
        </w:rPr>
        <w:t xml:space="preserve"> (HS GPA)</w:t>
      </w:r>
      <w:r w:rsidRPr="0004627E">
        <w:rPr>
          <w:rFonts w:asciiTheme="majorHAnsi" w:hAnsiTheme="majorHAnsi" w:cstheme="majorHAnsi"/>
          <w:sz w:val="22"/>
          <w:szCs w:val="22"/>
        </w:rPr>
        <w:t>. If they do not have a valid and reportable HS GPA, these students should be provided with the option of guided self-placement as outlined below.</w:t>
      </w:r>
    </w:p>
    <w:p w14:paraId="04EE8FD5" w14:textId="2CF3FC08" w:rsidR="003A17D2" w:rsidRPr="000E5E29" w:rsidRDefault="003A17D2" w:rsidP="000E5E29">
      <w:pPr>
        <w:spacing w:before="120" w:after="120"/>
        <w:rPr>
          <w:rFonts w:asciiTheme="majorHAnsi" w:hAnsiTheme="majorHAnsi" w:cstheme="majorHAnsi"/>
          <w:bCs/>
          <w:iCs/>
          <w:sz w:val="22"/>
          <w:szCs w:val="22"/>
        </w:rPr>
      </w:pPr>
      <w:r w:rsidRPr="000E5E29">
        <w:rPr>
          <w:rFonts w:asciiTheme="majorHAnsi" w:hAnsiTheme="majorHAnsi" w:cstheme="majorHAnsi"/>
          <w:bCs/>
          <w:iCs/>
          <w:sz w:val="22"/>
          <w:szCs w:val="22"/>
        </w:rPr>
        <w:t>In the absence of eligible ACT, SAT, MCA, and/or ACCUPLACER scores</w:t>
      </w:r>
      <w:r w:rsidR="00BE538D" w:rsidRPr="000E5E29">
        <w:rPr>
          <w:rFonts w:asciiTheme="majorHAnsi" w:hAnsiTheme="majorHAnsi" w:cstheme="majorHAnsi"/>
          <w:bCs/>
          <w:iCs/>
          <w:sz w:val="22"/>
          <w:szCs w:val="22"/>
        </w:rPr>
        <w:t>, college and universities may use cumulative high school grade point average (HS GPA) as a standalone measure as follows</w:t>
      </w:r>
      <w:r w:rsidR="00D6253B" w:rsidRPr="000E5E29">
        <w:rPr>
          <w:rFonts w:asciiTheme="majorHAnsi" w:hAnsiTheme="majorHAnsi" w:cstheme="majorHAnsi"/>
          <w:bCs/>
          <w:iCs/>
          <w:sz w:val="22"/>
          <w:szCs w:val="22"/>
        </w:rPr>
        <w:t>:</w:t>
      </w:r>
    </w:p>
    <w:p w14:paraId="5C456ADE" w14:textId="0B8A9FBF" w:rsidR="002B61E9" w:rsidRPr="002B61E9" w:rsidRDefault="002B61E9" w:rsidP="00904F34">
      <w:pPr>
        <w:pStyle w:val="ListParagraph"/>
        <w:numPr>
          <w:ilvl w:val="0"/>
          <w:numId w:val="8"/>
        </w:numPr>
        <w:contextualSpacing w:val="0"/>
        <w:rPr>
          <w:rFonts w:asciiTheme="majorHAnsi" w:hAnsiTheme="majorHAnsi" w:cstheme="majorHAnsi"/>
          <w:sz w:val="22"/>
          <w:szCs w:val="22"/>
        </w:rPr>
      </w:pPr>
      <w:r w:rsidRPr="002B61E9">
        <w:rPr>
          <w:rFonts w:asciiTheme="majorHAnsi" w:hAnsiTheme="majorHAnsi" w:cstheme="majorHAnsi"/>
          <w:sz w:val="22"/>
          <w:szCs w:val="22"/>
        </w:rPr>
        <w:t>Cumulative HS GPA</w:t>
      </w:r>
    </w:p>
    <w:p w14:paraId="6E219B2A" w14:textId="77777777" w:rsidR="002B61E9" w:rsidRPr="002B61E9" w:rsidRDefault="002B61E9" w:rsidP="00904F34">
      <w:pPr>
        <w:pStyle w:val="ListParagraph"/>
        <w:numPr>
          <w:ilvl w:val="1"/>
          <w:numId w:val="8"/>
        </w:numPr>
        <w:contextualSpacing w:val="0"/>
        <w:rPr>
          <w:rFonts w:asciiTheme="majorHAnsi" w:hAnsiTheme="majorHAnsi" w:cstheme="majorHAnsi"/>
          <w:sz w:val="22"/>
          <w:szCs w:val="22"/>
        </w:rPr>
      </w:pPr>
      <w:r w:rsidRPr="002B61E9">
        <w:rPr>
          <w:rFonts w:asciiTheme="majorHAnsi" w:hAnsiTheme="majorHAnsi" w:cstheme="majorHAnsi"/>
          <w:sz w:val="22"/>
          <w:szCs w:val="22"/>
        </w:rPr>
        <w:t>Reading. A student who presents a HS GPA of 2.6 or higher must be given a placement of college-level that allows for enrollment in courses that designate college-level reading skills as a prerequisite. A college or university may establish lower minimum HS GPA score(s) for placement into developmental reading courses. A college or university may establish higher minimum score(s) for placement into a higher-level reading course(s).</w:t>
      </w:r>
    </w:p>
    <w:p w14:paraId="1A4A9644" w14:textId="77777777" w:rsidR="002B61E9" w:rsidRPr="002B61E9" w:rsidRDefault="002B61E9" w:rsidP="00904F34">
      <w:pPr>
        <w:pStyle w:val="ListParagraph"/>
        <w:numPr>
          <w:ilvl w:val="1"/>
          <w:numId w:val="8"/>
        </w:numPr>
        <w:contextualSpacing w:val="0"/>
        <w:rPr>
          <w:rFonts w:asciiTheme="majorHAnsi" w:hAnsiTheme="majorHAnsi" w:cstheme="majorHAnsi"/>
          <w:sz w:val="22"/>
          <w:szCs w:val="22"/>
        </w:rPr>
      </w:pPr>
      <w:r w:rsidRPr="002B61E9">
        <w:rPr>
          <w:rFonts w:asciiTheme="majorHAnsi" w:hAnsiTheme="majorHAnsi" w:cstheme="majorHAnsi"/>
          <w:sz w:val="22"/>
          <w:szCs w:val="22"/>
        </w:rPr>
        <w:t>Writing. A student who presents a HS GPA of 2.6 or higher must be given a placement of college-level that allows for enrollment in a college-level writing course and in courses that designate college-level writing skills as a prerequisite. A college or university may establish lower minimum HS GPA score(s) for placement into developmental writing courses. A college or university may establish higher minimum score(s) for placement into a higher-level writing course(s).</w:t>
      </w:r>
    </w:p>
    <w:p w14:paraId="3A7379DB" w14:textId="601F0FDE" w:rsidR="002B61E9" w:rsidRPr="002B61E9" w:rsidRDefault="002B61E9" w:rsidP="00904F34">
      <w:pPr>
        <w:pStyle w:val="ListParagraph"/>
        <w:numPr>
          <w:ilvl w:val="1"/>
          <w:numId w:val="8"/>
        </w:numPr>
        <w:contextualSpacing w:val="0"/>
        <w:rPr>
          <w:rFonts w:asciiTheme="majorHAnsi" w:hAnsiTheme="majorHAnsi" w:cstheme="majorHAnsi"/>
          <w:sz w:val="22"/>
          <w:szCs w:val="22"/>
        </w:rPr>
      </w:pPr>
      <w:r w:rsidRPr="0004627E">
        <w:rPr>
          <w:rFonts w:asciiTheme="majorHAnsi" w:hAnsiTheme="majorHAnsi" w:cstheme="majorHAnsi"/>
          <w:sz w:val="22"/>
          <w:szCs w:val="22"/>
        </w:rPr>
        <w:t xml:space="preserve">Mathematics. A student who presents </w:t>
      </w:r>
      <w:r w:rsidR="00B6283A" w:rsidRPr="0004627E">
        <w:rPr>
          <w:rFonts w:asciiTheme="majorHAnsi" w:hAnsiTheme="majorHAnsi" w:cstheme="majorHAnsi"/>
          <w:sz w:val="22"/>
          <w:szCs w:val="22"/>
        </w:rPr>
        <w:t xml:space="preserve">both </w:t>
      </w:r>
      <w:r w:rsidRPr="0004627E">
        <w:rPr>
          <w:rFonts w:asciiTheme="majorHAnsi" w:hAnsiTheme="majorHAnsi" w:cstheme="majorHAnsi"/>
          <w:sz w:val="22"/>
          <w:szCs w:val="22"/>
        </w:rPr>
        <w:t xml:space="preserve">a HS GPA of 2.8 or higher </w:t>
      </w:r>
      <w:r w:rsidR="00B6283A" w:rsidRPr="0004627E">
        <w:rPr>
          <w:rFonts w:asciiTheme="majorHAnsi" w:hAnsiTheme="majorHAnsi" w:cstheme="majorHAnsi"/>
          <w:sz w:val="22"/>
          <w:szCs w:val="22"/>
        </w:rPr>
        <w:t xml:space="preserve">and the self-reported completion of </w:t>
      </w:r>
      <w:r w:rsidR="005D6E1F" w:rsidRPr="0004627E">
        <w:rPr>
          <w:rFonts w:asciiTheme="majorHAnsi" w:hAnsiTheme="majorHAnsi" w:cstheme="majorHAnsi"/>
          <w:sz w:val="22"/>
          <w:szCs w:val="22"/>
        </w:rPr>
        <w:t xml:space="preserve">High School </w:t>
      </w:r>
      <w:r w:rsidR="00B6283A" w:rsidRPr="0004627E">
        <w:rPr>
          <w:rFonts w:asciiTheme="majorHAnsi" w:hAnsiTheme="majorHAnsi" w:cstheme="majorHAnsi"/>
          <w:sz w:val="22"/>
          <w:szCs w:val="22"/>
        </w:rPr>
        <w:t xml:space="preserve">Algebra II or </w:t>
      </w:r>
      <w:r w:rsidR="00934AD6" w:rsidRPr="0004627E">
        <w:rPr>
          <w:rFonts w:asciiTheme="majorHAnsi" w:hAnsiTheme="majorHAnsi" w:cstheme="majorHAnsi"/>
          <w:sz w:val="22"/>
          <w:szCs w:val="22"/>
        </w:rPr>
        <w:t xml:space="preserve">its </w:t>
      </w:r>
      <w:r w:rsidR="00B6283A" w:rsidRPr="0004627E">
        <w:rPr>
          <w:rFonts w:asciiTheme="majorHAnsi" w:hAnsiTheme="majorHAnsi" w:cstheme="majorHAnsi"/>
          <w:sz w:val="22"/>
          <w:szCs w:val="22"/>
        </w:rPr>
        <w:t>equivalent</w:t>
      </w:r>
      <w:r w:rsidR="00D6253B" w:rsidRPr="0004627E">
        <w:rPr>
          <w:rFonts w:asciiTheme="majorHAnsi" w:hAnsiTheme="majorHAnsi" w:cstheme="majorHAnsi"/>
          <w:sz w:val="22"/>
          <w:szCs w:val="22"/>
        </w:rPr>
        <w:t>s</w:t>
      </w:r>
      <w:r w:rsidR="00B6283A" w:rsidRPr="0004627E">
        <w:rPr>
          <w:rFonts w:asciiTheme="majorHAnsi" w:hAnsiTheme="majorHAnsi" w:cstheme="majorHAnsi"/>
          <w:sz w:val="22"/>
          <w:szCs w:val="22"/>
        </w:rPr>
        <w:t xml:space="preserve"> </w:t>
      </w:r>
      <w:r w:rsidR="00B729EB" w:rsidRPr="0004627E">
        <w:rPr>
          <w:rFonts w:asciiTheme="majorHAnsi" w:hAnsiTheme="majorHAnsi" w:cstheme="majorHAnsi"/>
          <w:sz w:val="22"/>
          <w:szCs w:val="22"/>
        </w:rPr>
        <w:t xml:space="preserve">with a grade of </w:t>
      </w:r>
      <w:r w:rsidR="00934AD6" w:rsidRPr="0004627E">
        <w:rPr>
          <w:rFonts w:asciiTheme="majorHAnsi" w:hAnsiTheme="majorHAnsi" w:cstheme="majorHAnsi"/>
          <w:sz w:val="22"/>
          <w:szCs w:val="22"/>
        </w:rPr>
        <w:t>“</w:t>
      </w:r>
      <w:r w:rsidR="00B729EB" w:rsidRPr="0004627E">
        <w:rPr>
          <w:rFonts w:asciiTheme="majorHAnsi" w:hAnsiTheme="majorHAnsi" w:cstheme="majorHAnsi"/>
          <w:sz w:val="22"/>
          <w:szCs w:val="22"/>
        </w:rPr>
        <w:t>C-</w:t>
      </w:r>
      <w:r w:rsidR="00934AD6" w:rsidRPr="0004627E">
        <w:rPr>
          <w:rFonts w:asciiTheme="majorHAnsi" w:hAnsiTheme="majorHAnsi" w:cstheme="majorHAnsi"/>
          <w:sz w:val="22"/>
          <w:szCs w:val="22"/>
        </w:rPr>
        <w:t>“</w:t>
      </w:r>
      <w:r w:rsidR="00B729EB" w:rsidRPr="0004627E">
        <w:rPr>
          <w:rFonts w:asciiTheme="majorHAnsi" w:hAnsiTheme="majorHAnsi" w:cstheme="majorHAnsi"/>
          <w:sz w:val="22"/>
          <w:szCs w:val="22"/>
        </w:rPr>
        <w:t xml:space="preserve"> or above </w:t>
      </w:r>
      <w:r w:rsidRPr="0004627E">
        <w:rPr>
          <w:rFonts w:asciiTheme="majorHAnsi" w:hAnsiTheme="majorHAnsi" w:cstheme="majorHAnsi"/>
          <w:sz w:val="22"/>
          <w:szCs w:val="22"/>
        </w:rPr>
        <w:t xml:space="preserve">must be given a placement of college-level that allows for enrollment in College </w:t>
      </w:r>
      <w:r w:rsidRPr="002B61E9">
        <w:rPr>
          <w:rFonts w:asciiTheme="majorHAnsi" w:hAnsiTheme="majorHAnsi" w:cstheme="majorHAnsi"/>
          <w:sz w:val="22"/>
          <w:szCs w:val="22"/>
        </w:rPr>
        <w:t>Algebra. A college or university may establish minimum HS GPA score(s) for placement into introductory college-level mathematics courses other than College Algebra and for developmental mathematics courses. A college or university may establish higher minimum score(s) for placement into a higher-level mathematics course(s).</w:t>
      </w:r>
    </w:p>
    <w:p w14:paraId="7B16A783" w14:textId="0A5965FE" w:rsidR="002B61E9" w:rsidRPr="002B61E9" w:rsidRDefault="002B61E9" w:rsidP="00904F34">
      <w:pPr>
        <w:pStyle w:val="ListParagraph"/>
        <w:numPr>
          <w:ilvl w:val="1"/>
          <w:numId w:val="8"/>
        </w:numPr>
        <w:contextualSpacing w:val="0"/>
        <w:rPr>
          <w:rFonts w:asciiTheme="majorHAnsi" w:hAnsiTheme="majorHAnsi" w:cstheme="majorHAnsi"/>
          <w:sz w:val="22"/>
          <w:szCs w:val="22"/>
        </w:rPr>
      </w:pPr>
      <w:r w:rsidRPr="002B61E9">
        <w:rPr>
          <w:rFonts w:asciiTheme="majorHAnsi" w:hAnsiTheme="majorHAnsi" w:cstheme="majorHAnsi"/>
          <w:sz w:val="22"/>
          <w:szCs w:val="22"/>
        </w:rPr>
        <w:t xml:space="preserve">Self-reported HS GPA </w:t>
      </w:r>
      <w:r w:rsidRPr="002B61E9">
        <w:rPr>
          <w:rFonts w:asciiTheme="majorHAnsi" w:hAnsiTheme="majorHAnsi" w:cstheme="majorHAnsi"/>
          <w:i/>
          <w:iCs/>
          <w:sz w:val="22"/>
          <w:szCs w:val="22"/>
        </w:rPr>
        <w:t>must be accepted</w:t>
      </w:r>
      <w:r w:rsidRPr="002B61E9">
        <w:rPr>
          <w:rFonts w:asciiTheme="majorHAnsi" w:hAnsiTheme="majorHAnsi" w:cstheme="majorHAnsi"/>
          <w:sz w:val="22"/>
          <w:szCs w:val="22"/>
        </w:rPr>
        <w:t xml:space="preserve"> in the absence of an official, </w:t>
      </w:r>
      <w:proofErr w:type="spellStart"/>
      <w:r w:rsidRPr="002B61E9">
        <w:rPr>
          <w:rFonts w:asciiTheme="majorHAnsi" w:hAnsiTheme="majorHAnsi" w:cstheme="majorHAnsi"/>
          <w:sz w:val="22"/>
          <w:szCs w:val="22"/>
        </w:rPr>
        <w:t>transcripted</w:t>
      </w:r>
      <w:proofErr w:type="spellEnd"/>
      <w:r w:rsidR="00904F34">
        <w:rPr>
          <w:rFonts w:asciiTheme="majorHAnsi" w:hAnsiTheme="majorHAnsi" w:cstheme="majorHAnsi"/>
          <w:sz w:val="22"/>
          <w:szCs w:val="22"/>
        </w:rPr>
        <w:t xml:space="preserve"> GPA.</w:t>
      </w:r>
    </w:p>
    <w:p w14:paraId="10E93E76" w14:textId="5460BAF5" w:rsidR="003A5586" w:rsidRPr="000E5E29" w:rsidRDefault="002B61E9" w:rsidP="000E5E29">
      <w:pPr>
        <w:pStyle w:val="ListParagraph"/>
        <w:numPr>
          <w:ilvl w:val="1"/>
          <w:numId w:val="8"/>
        </w:numPr>
        <w:contextualSpacing w:val="0"/>
        <w:rPr>
          <w:rFonts w:asciiTheme="majorHAnsi" w:hAnsiTheme="majorHAnsi" w:cstheme="majorHAnsi"/>
          <w:sz w:val="22"/>
          <w:szCs w:val="22"/>
        </w:rPr>
      </w:pPr>
      <w:r w:rsidRPr="002B61E9">
        <w:rPr>
          <w:rFonts w:asciiTheme="majorHAnsi" w:hAnsiTheme="majorHAnsi" w:cstheme="majorHAnsi"/>
          <w:sz w:val="22"/>
          <w:szCs w:val="22"/>
        </w:rPr>
        <w:t>For purposes of course placement, HS GPA is valid for a period of up to 10 years from the date of high school graduation or, if the student has not yet graduated, from the date submitted</w:t>
      </w:r>
      <w:r w:rsidR="00BE538D">
        <w:rPr>
          <w:rFonts w:asciiTheme="majorHAnsi" w:hAnsiTheme="majorHAnsi" w:cstheme="majorHAnsi"/>
          <w:sz w:val="22"/>
          <w:szCs w:val="22"/>
        </w:rPr>
        <w:t>.</w:t>
      </w:r>
    </w:p>
    <w:p w14:paraId="2D414A61" w14:textId="77777777" w:rsidR="00520379" w:rsidRPr="00193754" w:rsidRDefault="00520379" w:rsidP="000E5E29">
      <w:pPr>
        <w:rPr>
          <w:rFonts w:asciiTheme="majorHAnsi" w:hAnsiTheme="majorHAnsi" w:cstheme="majorHAnsi"/>
          <w:sz w:val="28"/>
          <w:szCs w:val="22"/>
        </w:rPr>
      </w:pPr>
    </w:p>
    <w:p w14:paraId="63ADB866" w14:textId="1E575785" w:rsidR="002B61E9" w:rsidRPr="002B61E9" w:rsidRDefault="002B61E9" w:rsidP="00904F34">
      <w:pPr>
        <w:rPr>
          <w:rFonts w:asciiTheme="majorHAnsi" w:hAnsiTheme="majorHAnsi" w:cstheme="majorHAnsi"/>
          <w:b/>
          <w:bCs/>
          <w:color w:val="00B050"/>
          <w:sz w:val="22"/>
          <w:szCs w:val="22"/>
        </w:rPr>
      </w:pPr>
      <w:r w:rsidRPr="002B61E9">
        <w:rPr>
          <w:rFonts w:asciiTheme="majorHAnsi" w:hAnsiTheme="majorHAnsi" w:cstheme="majorHAnsi"/>
          <w:b/>
          <w:bCs/>
          <w:color w:val="00B050"/>
          <w:sz w:val="22"/>
          <w:szCs w:val="22"/>
        </w:rPr>
        <w:t>The Use of Standalone HS GPA</w:t>
      </w:r>
      <w:r w:rsidR="003A17D2">
        <w:rPr>
          <w:rFonts w:asciiTheme="majorHAnsi" w:hAnsiTheme="majorHAnsi" w:cstheme="majorHAnsi"/>
          <w:b/>
          <w:bCs/>
          <w:color w:val="00B050"/>
          <w:sz w:val="22"/>
          <w:szCs w:val="22"/>
        </w:rPr>
        <w:t xml:space="preserve"> </w:t>
      </w:r>
      <w:r w:rsidR="0004627E" w:rsidRPr="0004627E">
        <w:rPr>
          <w:rFonts w:asciiTheme="majorHAnsi" w:hAnsiTheme="majorHAnsi" w:cstheme="majorHAnsi"/>
          <w:b/>
          <w:bCs/>
          <w:color w:val="00B050"/>
          <w:sz w:val="22"/>
          <w:szCs w:val="22"/>
        </w:rPr>
        <w:t>(REVISED)</w:t>
      </w:r>
    </w:p>
    <w:p w14:paraId="1A87FE1E" w14:textId="6F6EF3F5" w:rsidR="002B61E9" w:rsidRPr="0004627E" w:rsidRDefault="00D6253B" w:rsidP="00904F34">
      <w:pPr>
        <w:rPr>
          <w:rFonts w:asciiTheme="majorHAnsi" w:hAnsiTheme="majorHAnsi" w:cstheme="majorHAnsi"/>
          <w:sz w:val="22"/>
          <w:szCs w:val="22"/>
        </w:rPr>
      </w:pPr>
      <w:r w:rsidRPr="0004627E">
        <w:rPr>
          <w:rFonts w:asciiTheme="majorHAnsi" w:hAnsiTheme="majorHAnsi" w:cstheme="majorHAnsi"/>
          <w:sz w:val="22"/>
          <w:szCs w:val="22"/>
        </w:rPr>
        <w:t xml:space="preserve">Initial placement decisions should utilize ACT, SAT, MCA, and/or ACCUPLACER scores whenever and wherever available. Standalone HS GPA may be used in the absence of such scores. </w:t>
      </w:r>
      <w:r w:rsidR="002B61E9" w:rsidRPr="0004627E">
        <w:rPr>
          <w:rFonts w:asciiTheme="majorHAnsi" w:hAnsiTheme="majorHAnsi" w:cstheme="majorHAnsi"/>
          <w:sz w:val="22"/>
          <w:szCs w:val="22"/>
        </w:rPr>
        <w:t>HS GPA information is collected within the universal application and viewable within ISRS. Colleges and universities are encouraged to contact students in situations where no HS GPA is recorded.</w:t>
      </w:r>
      <w:r w:rsidRPr="0004627E">
        <w:rPr>
          <w:rFonts w:asciiTheme="majorHAnsi" w:hAnsiTheme="majorHAnsi" w:cstheme="majorHAnsi"/>
          <w:sz w:val="22"/>
          <w:szCs w:val="22"/>
        </w:rPr>
        <w:t xml:space="preserve"> </w:t>
      </w:r>
    </w:p>
    <w:p w14:paraId="6E2C8F4D" w14:textId="77777777" w:rsidR="002B61E9" w:rsidRPr="00193754" w:rsidRDefault="002B61E9" w:rsidP="00904F34">
      <w:pPr>
        <w:rPr>
          <w:rFonts w:asciiTheme="majorHAnsi" w:hAnsiTheme="majorHAnsi" w:cstheme="majorHAnsi"/>
          <w:bCs/>
          <w:sz w:val="28"/>
          <w:szCs w:val="22"/>
        </w:rPr>
      </w:pPr>
    </w:p>
    <w:p w14:paraId="3E8264F9" w14:textId="0977A96A" w:rsidR="002B61E9" w:rsidRPr="002B61E9" w:rsidRDefault="002B61E9" w:rsidP="00904F34">
      <w:pPr>
        <w:rPr>
          <w:rFonts w:asciiTheme="majorHAnsi" w:hAnsiTheme="majorHAnsi" w:cstheme="majorHAnsi"/>
          <w:b/>
          <w:bCs/>
          <w:color w:val="00B050"/>
          <w:sz w:val="22"/>
          <w:szCs w:val="22"/>
        </w:rPr>
      </w:pPr>
      <w:r w:rsidRPr="002B61E9">
        <w:rPr>
          <w:rFonts w:asciiTheme="majorHAnsi" w:hAnsiTheme="majorHAnsi" w:cstheme="majorHAnsi"/>
          <w:b/>
          <w:bCs/>
          <w:color w:val="00B050"/>
          <w:sz w:val="22"/>
          <w:szCs w:val="22"/>
        </w:rPr>
        <w:t>Multiple Measures for Course Placement (MMCP) Phase I Implementation</w:t>
      </w:r>
    </w:p>
    <w:p w14:paraId="04C868C6" w14:textId="62EB3E7F" w:rsidR="0004627E" w:rsidRPr="00193754" w:rsidRDefault="002B61E9">
      <w:pPr>
        <w:rPr>
          <w:rFonts w:asciiTheme="majorHAnsi" w:hAnsiTheme="majorHAnsi" w:cstheme="majorHAnsi"/>
          <w:sz w:val="22"/>
          <w:szCs w:val="22"/>
        </w:rPr>
      </w:pPr>
      <w:r w:rsidRPr="002B61E9">
        <w:rPr>
          <w:rFonts w:asciiTheme="majorHAnsi" w:hAnsiTheme="majorHAnsi" w:cstheme="majorHAnsi"/>
          <w:sz w:val="22"/>
          <w:szCs w:val="22"/>
        </w:rPr>
        <w:t xml:space="preserve">Colleges and universities may implement or continue to implement the MMCP Phase I framework, using a combination of assessment data and HS GPA data to determine a student’s course placement. However, in light of the COVID-19 pandemic, colleges and universities may postpone implementation until </w:t>
      </w:r>
      <w:r w:rsidR="006C512A">
        <w:rPr>
          <w:rFonts w:asciiTheme="majorHAnsi" w:hAnsiTheme="majorHAnsi" w:cstheme="majorHAnsi"/>
          <w:sz w:val="22"/>
          <w:szCs w:val="22"/>
        </w:rPr>
        <w:t xml:space="preserve">the </w:t>
      </w:r>
      <w:r w:rsidRPr="002B61E9">
        <w:rPr>
          <w:rFonts w:asciiTheme="majorHAnsi" w:hAnsiTheme="majorHAnsi" w:cstheme="majorHAnsi"/>
          <w:sz w:val="22"/>
          <w:szCs w:val="22"/>
        </w:rPr>
        <w:t xml:space="preserve">fall </w:t>
      </w:r>
      <w:r w:rsidR="00904F34" w:rsidRPr="002B61E9">
        <w:rPr>
          <w:rFonts w:asciiTheme="majorHAnsi" w:hAnsiTheme="majorHAnsi" w:cstheme="majorHAnsi"/>
          <w:sz w:val="22"/>
          <w:szCs w:val="22"/>
        </w:rPr>
        <w:t>2020</w:t>
      </w:r>
      <w:r w:rsidR="006C512A">
        <w:rPr>
          <w:rFonts w:asciiTheme="majorHAnsi" w:hAnsiTheme="majorHAnsi" w:cstheme="majorHAnsi"/>
          <w:sz w:val="22"/>
          <w:szCs w:val="22"/>
        </w:rPr>
        <w:t xml:space="preserve"> semester</w:t>
      </w:r>
      <w:r w:rsidRPr="002B61E9">
        <w:rPr>
          <w:rFonts w:asciiTheme="majorHAnsi" w:hAnsiTheme="majorHAnsi" w:cstheme="majorHAnsi"/>
          <w:sz w:val="22"/>
          <w:szCs w:val="22"/>
        </w:rPr>
        <w:t>.</w:t>
      </w:r>
      <w:r w:rsidR="0004627E">
        <w:rPr>
          <w:rFonts w:asciiTheme="majorHAnsi" w:hAnsiTheme="majorHAnsi" w:cstheme="majorHAnsi"/>
          <w:b/>
          <w:bCs/>
          <w:color w:val="00B050"/>
          <w:sz w:val="22"/>
          <w:szCs w:val="22"/>
        </w:rPr>
        <w:br w:type="page"/>
      </w:r>
    </w:p>
    <w:p w14:paraId="1F52A3FD" w14:textId="17C53D2B" w:rsidR="002B61E9" w:rsidRPr="002B61E9" w:rsidRDefault="002B61E9" w:rsidP="00904F34">
      <w:pPr>
        <w:rPr>
          <w:rFonts w:asciiTheme="majorHAnsi" w:hAnsiTheme="majorHAnsi" w:cstheme="majorHAnsi"/>
          <w:b/>
          <w:bCs/>
          <w:color w:val="00B050"/>
          <w:sz w:val="22"/>
          <w:szCs w:val="22"/>
        </w:rPr>
      </w:pPr>
      <w:r w:rsidRPr="002B61E9">
        <w:rPr>
          <w:rFonts w:asciiTheme="majorHAnsi" w:hAnsiTheme="majorHAnsi" w:cstheme="majorHAnsi"/>
          <w:b/>
          <w:bCs/>
          <w:color w:val="00B050"/>
          <w:sz w:val="22"/>
          <w:szCs w:val="22"/>
        </w:rPr>
        <w:lastRenderedPageBreak/>
        <w:t>PSEO and Concurrent Enrollment Students</w:t>
      </w:r>
    </w:p>
    <w:p w14:paraId="4069DF40" w14:textId="5787C0CA" w:rsidR="002B61E9" w:rsidRPr="002B61E9" w:rsidRDefault="002B61E9" w:rsidP="00904F34">
      <w:pPr>
        <w:rPr>
          <w:rFonts w:asciiTheme="majorHAnsi" w:hAnsiTheme="majorHAnsi" w:cstheme="majorHAnsi"/>
          <w:sz w:val="22"/>
          <w:szCs w:val="22"/>
        </w:rPr>
      </w:pPr>
      <w:r w:rsidRPr="002B61E9">
        <w:rPr>
          <w:rFonts w:asciiTheme="majorHAnsi" w:hAnsiTheme="majorHAnsi" w:cstheme="majorHAnsi"/>
          <w:sz w:val="22"/>
          <w:szCs w:val="22"/>
        </w:rPr>
        <w:t xml:space="preserve">High school students planning to participate in college or university courses in the 2020-2021 academic year must still meet the eligibility criteria outlined in system procedure 3.5.1. For purposes of course placement, PSEO and concurrent enrollment students shall be placed using the measures used for the general student population outlined </w:t>
      </w:r>
      <w:r w:rsidR="00904F34">
        <w:rPr>
          <w:rFonts w:asciiTheme="majorHAnsi" w:hAnsiTheme="majorHAnsi" w:cstheme="majorHAnsi"/>
          <w:sz w:val="22"/>
          <w:szCs w:val="22"/>
        </w:rPr>
        <w:t>in this memorandum.</w:t>
      </w:r>
    </w:p>
    <w:p w14:paraId="3D31F51B" w14:textId="77777777" w:rsidR="00520379" w:rsidRPr="00193754" w:rsidRDefault="00520379" w:rsidP="00904F34">
      <w:pPr>
        <w:rPr>
          <w:rFonts w:asciiTheme="majorHAnsi" w:hAnsiTheme="majorHAnsi" w:cstheme="majorHAnsi"/>
          <w:b/>
          <w:bCs/>
          <w:sz w:val="28"/>
          <w:szCs w:val="22"/>
        </w:rPr>
      </w:pPr>
    </w:p>
    <w:p w14:paraId="65785FC0" w14:textId="14549495" w:rsidR="002B61E9" w:rsidRPr="002B61E9" w:rsidRDefault="002B61E9" w:rsidP="00904F34">
      <w:pPr>
        <w:rPr>
          <w:rFonts w:asciiTheme="majorHAnsi" w:hAnsiTheme="majorHAnsi" w:cstheme="majorHAnsi"/>
          <w:b/>
          <w:bCs/>
          <w:color w:val="00B050"/>
          <w:sz w:val="22"/>
          <w:szCs w:val="22"/>
        </w:rPr>
      </w:pPr>
      <w:r w:rsidRPr="002B61E9">
        <w:rPr>
          <w:rFonts w:asciiTheme="majorHAnsi" w:hAnsiTheme="majorHAnsi" w:cstheme="majorHAnsi"/>
          <w:b/>
          <w:bCs/>
          <w:color w:val="00B050"/>
          <w:sz w:val="22"/>
          <w:szCs w:val="22"/>
        </w:rPr>
        <w:t>Adult Learners and Those without HS GPA</w:t>
      </w:r>
      <w:r w:rsidR="00934AD6">
        <w:rPr>
          <w:rFonts w:asciiTheme="majorHAnsi" w:hAnsiTheme="majorHAnsi" w:cstheme="majorHAnsi"/>
          <w:b/>
          <w:bCs/>
          <w:color w:val="00B050"/>
          <w:sz w:val="22"/>
          <w:szCs w:val="22"/>
        </w:rPr>
        <w:t xml:space="preserve"> </w:t>
      </w:r>
      <w:r w:rsidR="0004627E" w:rsidRPr="0004627E">
        <w:rPr>
          <w:rFonts w:asciiTheme="majorHAnsi" w:hAnsiTheme="majorHAnsi" w:cstheme="majorHAnsi"/>
          <w:b/>
          <w:bCs/>
          <w:color w:val="00B050"/>
          <w:sz w:val="22"/>
          <w:szCs w:val="22"/>
        </w:rPr>
        <w:t>(REVISED)</w:t>
      </w:r>
    </w:p>
    <w:p w14:paraId="71AC4DE8" w14:textId="0E73AFCD" w:rsidR="00924144" w:rsidRPr="0004627E" w:rsidRDefault="00327627" w:rsidP="00904F34">
      <w:pPr>
        <w:rPr>
          <w:rFonts w:asciiTheme="majorHAnsi" w:hAnsiTheme="majorHAnsi" w:cstheme="majorHAnsi"/>
          <w:sz w:val="22"/>
          <w:szCs w:val="22"/>
        </w:rPr>
      </w:pPr>
      <w:r w:rsidRPr="0004627E">
        <w:rPr>
          <w:rFonts w:asciiTheme="majorHAnsi" w:hAnsiTheme="majorHAnsi" w:cstheme="majorHAnsi"/>
          <w:sz w:val="22"/>
          <w:szCs w:val="22"/>
        </w:rPr>
        <w:t>C</w:t>
      </w:r>
      <w:r w:rsidR="002B61E9" w:rsidRPr="0004627E">
        <w:rPr>
          <w:rFonts w:asciiTheme="majorHAnsi" w:hAnsiTheme="majorHAnsi" w:cstheme="majorHAnsi"/>
          <w:sz w:val="22"/>
          <w:szCs w:val="22"/>
        </w:rPr>
        <w:t xml:space="preserve">olleges and universities may allow students </w:t>
      </w:r>
      <w:r w:rsidRPr="0004627E">
        <w:rPr>
          <w:rFonts w:asciiTheme="majorHAnsi" w:hAnsiTheme="majorHAnsi" w:cstheme="majorHAnsi"/>
          <w:sz w:val="22"/>
          <w:szCs w:val="22"/>
        </w:rPr>
        <w:t xml:space="preserve">who are unable to take the ACCUPLACER and who are </w:t>
      </w:r>
      <w:r w:rsidR="002B61E9" w:rsidRPr="0004627E">
        <w:rPr>
          <w:rFonts w:asciiTheme="majorHAnsi" w:hAnsiTheme="majorHAnsi" w:cstheme="majorHAnsi"/>
          <w:sz w:val="22"/>
          <w:szCs w:val="22"/>
        </w:rPr>
        <w:t>without a reportable or valid cumulative high school GPA to register for courses up to and including the college-level gateway course within the disciplines of rea</w:t>
      </w:r>
      <w:r w:rsidR="00904F34" w:rsidRPr="0004627E">
        <w:rPr>
          <w:rFonts w:asciiTheme="majorHAnsi" w:hAnsiTheme="majorHAnsi" w:cstheme="majorHAnsi"/>
          <w:sz w:val="22"/>
          <w:szCs w:val="22"/>
        </w:rPr>
        <w:t>ding, writing, and mathematics</w:t>
      </w:r>
      <w:r w:rsidR="00DD2056" w:rsidRPr="0004627E">
        <w:rPr>
          <w:rFonts w:asciiTheme="majorHAnsi" w:hAnsiTheme="majorHAnsi" w:cstheme="majorHAnsi"/>
          <w:sz w:val="22"/>
          <w:szCs w:val="22"/>
        </w:rPr>
        <w:t>.</w:t>
      </w:r>
    </w:p>
    <w:p w14:paraId="7726B8A8" w14:textId="77777777" w:rsidR="00924144" w:rsidRPr="00193754" w:rsidRDefault="00924144" w:rsidP="00904F34">
      <w:pPr>
        <w:rPr>
          <w:rFonts w:asciiTheme="majorHAnsi" w:hAnsiTheme="majorHAnsi" w:cstheme="majorHAnsi"/>
          <w:b/>
          <w:bCs/>
          <w:sz w:val="28"/>
          <w:szCs w:val="22"/>
        </w:rPr>
      </w:pPr>
    </w:p>
    <w:p w14:paraId="37842E17" w14:textId="3AFC1DE0" w:rsidR="002B61E9" w:rsidRPr="002B61E9" w:rsidRDefault="00924144" w:rsidP="00904F34">
      <w:pPr>
        <w:rPr>
          <w:rFonts w:asciiTheme="majorHAnsi" w:hAnsiTheme="majorHAnsi" w:cstheme="majorHAnsi"/>
          <w:b/>
          <w:bCs/>
          <w:color w:val="00B050"/>
          <w:sz w:val="22"/>
          <w:szCs w:val="22"/>
        </w:rPr>
      </w:pPr>
      <w:r>
        <w:rPr>
          <w:rFonts w:asciiTheme="majorHAnsi" w:hAnsiTheme="majorHAnsi" w:cstheme="majorHAnsi"/>
          <w:b/>
          <w:bCs/>
          <w:color w:val="00B050"/>
          <w:sz w:val="22"/>
          <w:szCs w:val="22"/>
        </w:rPr>
        <w:t>P</w:t>
      </w:r>
      <w:r w:rsidR="002B61E9" w:rsidRPr="002B61E9">
        <w:rPr>
          <w:rFonts w:asciiTheme="majorHAnsi" w:hAnsiTheme="majorHAnsi" w:cstheme="majorHAnsi"/>
          <w:b/>
          <w:bCs/>
          <w:color w:val="00B050"/>
          <w:sz w:val="22"/>
          <w:szCs w:val="22"/>
        </w:rPr>
        <w:t>re-registration Advising</w:t>
      </w:r>
    </w:p>
    <w:p w14:paraId="64E90C4F" w14:textId="29750750" w:rsidR="002B61E9" w:rsidRPr="002B61E9" w:rsidRDefault="004205FC" w:rsidP="00904F34">
      <w:pPr>
        <w:rPr>
          <w:rFonts w:asciiTheme="majorHAnsi" w:hAnsiTheme="majorHAnsi" w:cstheme="majorHAnsi"/>
          <w:sz w:val="22"/>
          <w:szCs w:val="22"/>
        </w:rPr>
      </w:pPr>
      <w:r>
        <w:rPr>
          <w:rFonts w:asciiTheme="majorHAnsi" w:hAnsiTheme="majorHAnsi" w:cstheme="majorHAnsi"/>
          <w:sz w:val="22"/>
          <w:szCs w:val="22"/>
        </w:rPr>
        <w:t>To the greatest extent possible, s</w:t>
      </w:r>
      <w:r w:rsidRPr="002B61E9">
        <w:rPr>
          <w:rFonts w:asciiTheme="majorHAnsi" w:hAnsiTheme="majorHAnsi" w:cstheme="majorHAnsi"/>
          <w:sz w:val="22"/>
          <w:szCs w:val="22"/>
        </w:rPr>
        <w:t>tudents</w:t>
      </w:r>
      <w:r w:rsidR="002B61E9" w:rsidRPr="002B61E9">
        <w:rPr>
          <w:rFonts w:asciiTheme="majorHAnsi" w:hAnsiTheme="majorHAnsi" w:cstheme="majorHAnsi"/>
          <w:sz w:val="22"/>
          <w:szCs w:val="22"/>
        </w:rPr>
        <w:t>, including those using guided self-placement, should meet with an academic advisor prior to registration to:</w:t>
      </w:r>
    </w:p>
    <w:p w14:paraId="5B8A1860" w14:textId="77777777" w:rsidR="002B61E9" w:rsidRPr="002B61E9" w:rsidRDefault="002B61E9" w:rsidP="00904F34">
      <w:pPr>
        <w:pStyle w:val="ListParagraph"/>
        <w:numPr>
          <w:ilvl w:val="0"/>
          <w:numId w:val="9"/>
        </w:numPr>
        <w:contextualSpacing w:val="0"/>
        <w:rPr>
          <w:rFonts w:asciiTheme="majorHAnsi" w:hAnsiTheme="majorHAnsi" w:cstheme="majorHAnsi"/>
          <w:sz w:val="22"/>
          <w:szCs w:val="22"/>
        </w:rPr>
      </w:pPr>
      <w:r w:rsidRPr="002B61E9">
        <w:rPr>
          <w:rFonts w:asciiTheme="majorHAnsi" w:hAnsiTheme="majorHAnsi" w:cstheme="majorHAnsi"/>
          <w:sz w:val="22"/>
          <w:szCs w:val="22"/>
        </w:rPr>
        <w:t>review the student’s academic background and course needs;</w:t>
      </w:r>
    </w:p>
    <w:p w14:paraId="5BD6075F" w14:textId="77777777" w:rsidR="002B61E9" w:rsidRPr="002B61E9" w:rsidRDefault="002B61E9" w:rsidP="00904F34">
      <w:pPr>
        <w:pStyle w:val="ListParagraph"/>
        <w:numPr>
          <w:ilvl w:val="0"/>
          <w:numId w:val="9"/>
        </w:numPr>
        <w:contextualSpacing w:val="0"/>
        <w:rPr>
          <w:rFonts w:asciiTheme="majorHAnsi" w:hAnsiTheme="majorHAnsi" w:cstheme="majorHAnsi"/>
          <w:sz w:val="22"/>
          <w:szCs w:val="22"/>
        </w:rPr>
      </w:pPr>
      <w:r w:rsidRPr="002B61E9">
        <w:rPr>
          <w:rFonts w:asciiTheme="majorHAnsi" w:hAnsiTheme="majorHAnsi" w:cstheme="majorHAnsi"/>
          <w:sz w:val="22"/>
          <w:szCs w:val="22"/>
        </w:rPr>
        <w:t>recommend an appropriate course placement;</w:t>
      </w:r>
    </w:p>
    <w:p w14:paraId="3CE5A1F3" w14:textId="77777777" w:rsidR="002B61E9" w:rsidRPr="002B61E9" w:rsidRDefault="002B61E9" w:rsidP="00904F34">
      <w:pPr>
        <w:pStyle w:val="ListParagraph"/>
        <w:numPr>
          <w:ilvl w:val="0"/>
          <w:numId w:val="9"/>
        </w:numPr>
        <w:contextualSpacing w:val="0"/>
        <w:rPr>
          <w:rFonts w:asciiTheme="majorHAnsi" w:hAnsiTheme="majorHAnsi" w:cstheme="majorHAnsi"/>
          <w:sz w:val="22"/>
          <w:szCs w:val="22"/>
        </w:rPr>
      </w:pPr>
      <w:r w:rsidRPr="002B61E9">
        <w:rPr>
          <w:rFonts w:asciiTheme="majorHAnsi" w:hAnsiTheme="majorHAnsi" w:cstheme="majorHAnsi"/>
          <w:sz w:val="22"/>
          <w:szCs w:val="22"/>
        </w:rPr>
        <w:t>review the college or university policy for satisfactory academic progress (SAP);</w:t>
      </w:r>
    </w:p>
    <w:p w14:paraId="5082CA55" w14:textId="77777777" w:rsidR="002B61E9" w:rsidRPr="002B61E9" w:rsidRDefault="002B61E9" w:rsidP="00904F34">
      <w:pPr>
        <w:pStyle w:val="ListParagraph"/>
        <w:numPr>
          <w:ilvl w:val="0"/>
          <w:numId w:val="9"/>
        </w:numPr>
        <w:contextualSpacing w:val="0"/>
        <w:rPr>
          <w:rFonts w:asciiTheme="majorHAnsi" w:hAnsiTheme="majorHAnsi" w:cstheme="majorHAnsi"/>
          <w:sz w:val="22"/>
          <w:szCs w:val="22"/>
        </w:rPr>
      </w:pPr>
      <w:r w:rsidRPr="002B61E9">
        <w:rPr>
          <w:rFonts w:asciiTheme="majorHAnsi" w:hAnsiTheme="majorHAnsi" w:cstheme="majorHAnsi"/>
          <w:sz w:val="22"/>
          <w:szCs w:val="22"/>
        </w:rPr>
        <w:t>orient the student to the available academic support services;</w:t>
      </w:r>
    </w:p>
    <w:p w14:paraId="4498FDAA" w14:textId="77777777" w:rsidR="002B61E9" w:rsidRPr="002B61E9" w:rsidRDefault="002B61E9" w:rsidP="00904F34">
      <w:pPr>
        <w:pStyle w:val="ListParagraph"/>
        <w:numPr>
          <w:ilvl w:val="0"/>
          <w:numId w:val="9"/>
        </w:numPr>
        <w:contextualSpacing w:val="0"/>
        <w:rPr>
          <w:rFonts w:asciiTheme="majorHAnsi" w:hAnsiTheme="majorHAnsi" w:cstheme="majorHAnsi"/>
          <w:sz w:val="22"/>
          <w:szCs w:val="22"/>
        </w:rPr>
      </w:pPr>
      <w:r w:rsidRPr="002B61E9">
        <w:rPr>
          <w:rFonts w:asciiTheme="majorHAnsi" w:hAnsiTheme="majorHAnsi" w:cstheme="majorHAnsi"/>
          <w:sz w:val="22"/>
          <w:szCs w:val="22"/>
        </w:rPr>
        <w:t>review the registration process; and</w:t>
      </w:r>
    </w:p>
    <w:p w14:paraId="3C4833FB" w14:textId="77777777" w:rsidR="002B61E9" w:rsidRPr="002B61E9" w:rsidRDefault="002B61E9" w:rsidP="00904F34">
      <w:pPr>
        <w:pStyle w:val="ListParagraph"/>
        <w:numPr>
          <w:ilvl w:val="0"/>
          <w:numId w:val="9"/>
        </w:numPr>
        <w:contextualSpacing w:val="0"/>
        <w:rPr>
          <w:rFonts w:asciiTheme="majorHAnsi" w:hAnsiTheme="majorHAnsi" w:cstheme="majorHAnsi"/>
          <w:sz w:val="22"/>
          <w:szCs w:val="22"/>
        </w:rPr>
      </w:pPr>
      <w:r w:rsidRPr="002B61E9">
        <w:rPr>
          <w:rFonts w:asciiTheme="majorHAnsi" w:hAnsiTheme="majorHAnsi" w:cstheme="majorHAnsi"/>
          <w:sz w:val="22"/>
          <w:szCs w:val="22"/>
        </w:rPr>
        <w:t>review the withdrawal process and all related deadlines.</w:t>
      </w:r>
    </w:p>
    <w:p w14:paraId="24B3B282" w14:textId="77777777" w:rsidR="00904F34" w:rsidRDefault="00904F34" w:rsidP="00904F34">
      <w:pPr>
        <w:rPr>
          <w:rFonts w:asciiTheme="majorHAnsi" w:hAnsiTheme="majorHAnsi" w:cstheme="majorHAnsi"/>
          <w:sz w:val="22"/>
          <w:szCs w:val="22"/>
        </w:rPr>
      </w:pPr>
    </w:p>
    <w:p w14:paraId="38FEFA21" w14:textId="347918A8" w:rsidR="002B61E9" w:rsidRPr="002B61E9" w:rsidRDefault="002B61E9" w:rsidP="00904F34">
      <w:pPr>
        <w:rPr>
          <w:rFonts w:asciiTheme="majorHAnsi" w:hAnsiTheme="majorHAnsi" w:cstheme="majorHAnsi"/>
          <w:sz w:val="22"/>
          <w:szCs w:val="22"/>
        </w:rPr>
      </w:pPr>
      <w:r w:rsidRPr="002B61E9">
        <w:rPr>
          <w:rFonts w:asciiTheme="majorHAnsi" w:hAnsiTheme="majorHAnsi" w:cstheme="majorHAnsi"/>
          <w:sz w:val="22"/>
          <w:szCs w:val="22"/>
        </w:rPr>
        <w:t xml:space="preserve">All course placement recommendations must be based on the student’s academic background, occupational experience, and/or relevant skills and abilities. </w:t>
      </w:r>
      <w:r w:rsidRPr="002B61E9">
        <w:rPr>
          <w:rFonts w:asciiTheme="majorHAnsi" w:hAnsiTheme="majorHAnsi" w:cstheme="majorHAnsi"/>
          <w:b/>
          <w:bCs/>
          <w:sz w:val="22"/>
          <w:szCs w:val="22"/>
        </w:rPr>
        <w:t>At no time should a student’s demographic status be used for purposes of course placement, including but not limited to the student’s race, ethnicity, gender, age, accent, or background.</w:t>
      </w:r>
      <w:r w:rsidRPr="002B61E9">
        <w:rPr>
          <w:rFonts w:asciiTheme="majorHAnsi" w:hAnsiTheme="majorHAnsi" w:cstheme="majorHAnsi"/>
          <w:sz w:val="22"/>
          <w:szCs w:val="22"/>
        </w:rPr>
        <w:t xml:space="preserve"> </w:t>
      </w:r>
    </w:p>
    <w:p w14:paraId="6C20A9B3" w14:textId="77777777" w:rsidR="00904F34" w:rsidRDefault="00904F34" w:rsidP="00904F34">
      <w:pPr>
        <w:rPr>
          <w:rFonts w:asciiTheme="majorHAnsi" w:hAnsiTheme="majorHAnsi" w:cstheme="majorHAnsi"/>
          <w:sz w:val="22"/>
          <w:szCs w:val="22"/>
        </w:rPr>
      </w:pPr>
    </w:p>
    <w:p w14:paraId="28CE8494" w14:textId="52B1052E" w:rsidR="002B61E9" w:rsidRPr="002B61E9" w:rsidRDefault="002B61E9" w:rsidP="00904F34">
      <w:pPr>
        <w:rPr>
          <w:rFonts w:asciiTheme="majorHAnsi" w:hAnsiTheme="majorHAnsi" w:cstheme="majorHAnsi"/>
          <w:sz w:val="22"/>
          <w:szCs w:val="22"/>
        </w:rPr>
      </w:pPr>
      <w:r w:rsidRPr="002B61E9">
        <w:rPr>
          <w:rFonts w:asciiTheme="majorHAnsi" w:hAnsiTheme="majorHAnsi" w:cstheme="majorHAnsi"/>
          <w:sz w:val="22"/>
          <w:szCs w:val="22"/>
        </w:rPr>
        <w:t xml:space="preserve">Should a student using guided self-placement elect to register for a course that is at a lower level than was recommended, the student should be advised of the time and costs associated with this decision. </w:t>
      </w:r>
    </w:p>
    <w:p w14:paraId="15C0EB46" w14:textId="77777777" w:rsidR="002B61E9" w:rsidRPr="002B61E9" w:rsidRDefault="002B61E9" w:rsidP="00904F34">
      <w:pPr>
        <w:rPr>
          <w:rFonts w:asciiTheme="majorHAnsi" w:hAnsiTheme="majorHAnsi" w:cstheme="majorHAnsi"/>
          <w:sz w:val="22"/>
          <w:szCs w:val="22"/>
        </w:rPr>
      </w:pPr>
      <w:r w:rsidRPr="002B61E9">
        <w:rPr>
          <w:rFonts w:asciiTheme="majorHAnsi" w:hAnsiTheme="majorHAnsi" w:cstheme="majorHAnsi"/>
          <w:sz w:val="22"/>
          <w:szCs w:val="22"/>
        </w:rPr>
        <w:t>Should a student using guided self-placement elect to register for a course that is at a higher level than was recommended, the student should be advised of the risks associated with this decision, including, but not limited to the academic and financial consequences of being unsuccessful.</w:t>
      </w:r>
    </w:p>
    <w:p w14:paraId="2F114A5F" w14:textId="77777777" w:rsidR="001011F7" w:rsidRDefault="001011F7" w:rsidP="00904F34">
      <w:pPr>
        <w:rPr>
          <w:rFonts w:asciiTheme="majorHAnsi" w:hAnsiTheme="majorHAnsi" w:cstheme="majorHAnsi"/>
          <w:sz w:val="22"/>
          <w:szCs w:val="22"/>
        </w:rPr>
      </w:pPr>
    </w:p>
    <w:p w14:paraId="250E972D" w14:textId="5868299D" w:rsidR="002B61E9" w:rsidRPr="002B61E9" w:rsidRDefault="002B61E9" w:rsidP="00904F34">
      <w:pPr>
        <w:rPr>
          <w:rFonts w:asciiTheme="majorHAnsi" w:hAnsiTheme="majorHAnsi" w:cstheme="majorHAnsi"/>
          <w:sz w:val="22"/>
          <w:szCs w:val="22"/>
        </w:rPr>
      </w:pPr>
      <w:r w:rsidRPr="002B61E9">
        <w:rPr>
          <w:rFonts w:asciiTheme="majorHAnsi" w:hAnsiTheme="majorHAnsi" w:cstheme="majorHAnsi"/>
          <w:sz w:val="22"/>
          <w:szCs w:val="22"/>
        </w:rPr>
        <w:t>It is a recommended practice that colleges and universities retain documentation of all directed self-placement advising sessions.</w:t>
      </w:r>
    </w:p>
    <w:p w14:paraId="39D7C7FD" w14:textId="77777777" w:rsidR="007A3A6D" w:rsidRPr="00193754" w:rsidRDefault="007A3A6D" w:rsidP="00904F34">
      <w:pPr>
        <w:rPr>
          <w:rFonts w:asciiTheme="majorHAnsi" w:hAnsiTheme="majorHAnsi" w:cstheme="majorHAnsi"/>
          <w:b/>
          <w:bCs/>
          <w:sz w:val="28"/>
          <w:szCs w:val="22"/>
        </w:rPr>
      </w:pPr>
    </w:p>
    <w:p w14:paraId="5D47F16C" w14:textId="6B01A9B0" w:rsidR="002B61E9" w:rsidRPr="002B61E9" w:rsidRDefault="002B61E9" w:rsidP="00904F34">
      <w:pPr>
        <w:rPr>
          <w:rFonts w:asciiTheme="majorHAnsi" w:hAnsiTheme="majorHAnsi" w:cstheme="majorHAnsi"/>
          <w:b/>
          <w:bCs/>
          <w:color w:val="00B050"/>
          <w:sz w:val="22"/>
          <w:szCs w:val="22"/>
        </w:rPr>
      </w:pPr>
      <w:r w:rsidRPr="002B61E9">
        <w:rPr>
          <w:rFonts w:asciiTheme="majorHAnsi" w:hAnsiTheme="majorHAnsi" w:cstheme="majorHAnsi"/>
          <w:b/>
          <w:bCs/>
          <w:color w:val="00B050"/>
          <w:sz w:val="22"/>
          <w:szCs w:val="22"/>
        </w:rPr>
        <w:t>International Students</w:t>
      </w:r>
    </w:p>
    <w:p w14:paraId="2C05AECD" w14:textId="6FF8188A" w:rsidR="002B61E9" w:rsidRPr="002B61E9" w:rsidRDefault="002B61E9" w:rsidP="00904F34">
      <w:pPr>
        <w:rPr>
          <w:rFonts w:asciiTheme="majorHAnsi" w:hAnsiTheme="majorHAnsi" w:cstheme="majorHAnsi"/>
          <w:sz w:val="22"/>
          <w:szCs w:val="22"/>
        </w:rPr>
      </w:pPr>
      <w:r w:rsidRPr="002B61E9">
        <w:rPr>
          <w:rFonts w:asciiTheme="majorHAnsi" w:hAnsiTheme="majorHAnsi" w:cstheme="majorHAnsi"/>
          <w:sz w:val="22"/>
          <w:szCs w:val="22"/>
        </w:rPr>
        <w:t xml:space="preserve">Each college and university should determine and document the means through which international students will be placed. This process should be posted on the college or university website and made </w:t>
      </w:r>
      <w:r w:rsidR="00904F34">
        <w:rPr>
          <w:rFonts w:asciiTheme="majorHAnsi" w:hAnsiTheme="majorHAnsi" w:cstheme="majorHAnsi"/>
          <w:sz w:val="22"/>
          <w:szCs w:val="22"/>
        </w:rPr>
        <w:t>available to students.</w:t>
      </w:r>
    </w:p>
    <w:p w14:paraId="659B9B30" w14:textId="77777777" w:rsidR="001011F7" w:rsidRPr="00193754" w:rsidRDefault="001011F7" w:rsidP="00904F34">
      <w:pPr>
        <w:rPr>
          <w:rFonts w:asciiTheme="majorHAnsi" w:hAnsiTheme="majorHAnsi" w:cstheme="majorHAnsi"/>
          <w:b/>
          <w:bCs/>
          <w:sz w:val="28"/>
          <w:szCs w:val="22"/>
        </w:rPr>
      </w:pPr>
    </w:p>
    <w:p w14:paraId="03F4E8B7" w14:textId="23FA263C" w:rsidR="002B61E9" w:rsidRPr="002B61E9" w:rsidRDefault="002B61E9" w:rsidP="00904F34">
      <w:pPr>
        <w:rPr>
          <w:rFonts w:asciiTheme="majorHAnsi" w:hAnsiTheme="majorHAnsi" w:cstheme="majorHAnsi"/>
          <w:b/>
          <w:bCs/>
          <w:color w:val="00B050"/>
          <w:sz w:val="22"/>
          <w:szCs w:val="22"/>
        </w:rPr>
      </w:pPr>
      <w:r w:rsidRPr="002B61E9">
        <w:rPr>
          <w:rFonts w:asciiTheme="majorHAnsi" w:hAnsiTheme="majorHAnsi" w:cstheme="majorHAnsi"/>
          <w:b/>
          <w:bCs/>
          <w:color w:val="00B050"/>
          <w:sz w:val="22"/>
          <w:szCs w:val="22"/>
        </w:rPr>
        <w:t>English Language Learners</w:t>
      </w:r>
      <w:r w:rsidR="003A5586">
        <w:rPr>
          <w:rFonts w:asciiTheme="majorHAnsi" w:hAnsiTheme="majorHAnsi" w:cstheme="majorHAnsi"/>
          <w:b/>
          <w:bCs/>
          <w:color w:val="00B050"/>
          <w:sz w:val="22"/>
          <w:szCs w:val="22"/>
        </w:rPr>
        <w:t xml:space="preserve"> </w:t>
      </w:r>
      <w:r w:rsidR="0004627E" w:rsidRPr="0004627E">
        <w:rPr>
          <w:rFonts w:asciiTheme="majorHAnsi" w:hAnsiTheme="majorHAnsi" w:cstheme="majorHAnsi"/>
          <w:b/>
          <w:bCs/>
          <w:color w:val="00B050"/>
          <w:sz w:val="22"/>
          <w:szCs w:val="22"/>
        </w:rPr>
        <w:t>(REVISED)</w:t>
      </w:r>
    </w:p>
    <w:p w14:paraId="66F38D76" w14:textId="1B6554AC" w:rsidR="00A2750F" w:rsidRDefault="002B61E9">
      <w:pPr>
        <w:rPr>
          <w:rFonts w:asciiTheme="majorHAnsi" w:hAnsiTheme="majorHAnsi" w:cstheme="majorHAnsi"/>
          <w:sz w:val="22"/>
          <w:szCs w:val="22"/>
        </w:rPr>
      </w:pPr>
      <w:r w:rsidRPr="0004627E">
        <w:rPr>
          <w:rFonts w:asciiTheme="majorHAnsi" w:hAnsiTheme="majorHAnsi" w:cstheme="majorHAnsi"/>
          <w:sz w:val="22"/>
          <w:szCs w:val="22"/>
        </w:rPr>
        <w:t xml:space="preserve">For purposes of course placement, English Language Learners (ELL) shall be placed using the measures used for the general student population outlined </w:t>
      </w:r>
      <w:r w:rsidR="00904F34" w:rsidRPr="0004627E">
        <w:rPr>
          <w:rFonts w:asciiTheme="majorHAnsi" w:hAnsiTheme="majorHAnsi" w:cstheme="majorHAnsi"/>
          <w:sz w:val="22"/>
          <w:szCs w:val="22"/>
        </w:rPr>
        <w:t>in this memorandum</w:t>
      </w:r>
      <w:r w:rsidRPr="0004627E">
        <w:rPr>
          <w:rFonts w:asciiTheme="majorHAnsi" w:hAnsiTheme="majorHAnsi" w:cstheme="majorHAnsi"/>
          <w:sz w:val="22"/>
          <w:szCs w:val="22"/>
        </w:rPr>
        <w:t>.</w:t>
      </w:r>
      <w:r w:rsidR="003A5586" w:rsidRPr="0004627E">
        <w:rPr>
          <w:rFonts w:asciiTheme="majorHAnsi" w:hAnsiTheme="majorHAnsi" w:cstheme="majorHAnsi"/>
          <w:sz w:val="22"/>
          <w:szCs w:val="22"/>
        </w:rPr>
        <w:t xml:space="preserve"> Generally, ELL are encouraged to complete the ACCUP</w:t>
      </w:r>
      <w:r w:rsidR="00934AD6" w:rsidRPr="0004627E">
        <w:rPr>
          <w:rFonts w:asciiTheme="majorHAnsi" w:hAnsiTheme="majorHAnsi" w:cstheme="majorHAnsi"/>
          <w:sz w:val="22"/>
          <w:szCs w:val="22"/>
        </w:rPr>
        <w:t>LA</w:t>
      </w:r>
      <w:r w:rsidR="003A5586" w:rsidRPr="0004627E">
        <w:rPr>
          <w:rFonts w:asciiTheme="majorHAnsi" w:hAnsiTheme="majorHAnsi" w:cstheme="majorHAnsi"/>
          <w:sz w:val="22"/>
          <w:szCs w:val="22"/>
        </w:rPr>
        <w:t>CER. Understanding that not all ESOL students may have sufficient access to take the ACCUPLACER through the approved remote proctoring process,</w:t>
      </w:r>
      <w:r w:rsidRPr="0004627E">
        <w:rPr>
          <w:rFonts w:asciiTheme="majorHAnsi" w:hAnsiTheme="majorHAnsi" w:cstheme="majorHAnsi"/>
          <w:sz w:val="22"/>
          <w:szCs w:val="22"/>
        </w:rPr>
        <w:t xml:space="preserve"> </w:t>
      </w:r>
      <w:r w:rsidR="00934AD6" w:rsidRPr="0004627E">
        <w:rPr>
          <w:rFonts w:asciiTheme="majorHAnsi" w:hAnsiTheme="majorHAnsi" w:cstheme="majorHAnsi"/>
          <w:sz w:val="22"/>
          <w:szCs w:val="22"/>
        </w:rPr>
        <w:t>C</w:t>
      </w:r>
      <w:r w:rsidRPr="0004627E">
        <w:rPr>
          <w:rFonts w:asciiTheme="majorHAnsi" w:hAnsiTheme="majorHAnsi" w:cstheme="majorHAnsi"/>
          <w:sz w:val="22"/>
          <w:szCs w:val="22"/>
        </w:rPr>
        <w:t xml:space="preserve">olleges and universities with ESOL curriculum are encouraged to collect a writing sample </w:t>
      </w:r>
      <w:r w:rsidR="00DD2056" w:rsidRPr="0004627E">
        <w:rPr>
          <w:rFonts w:asciiTheme="majorHAnsi" w:hAnsiTheme="majorHAnsi" w:cstheme="majorHAnsi"/>
          <w:sz w:val="22"/>
          <w:szCs w:val="22"/>
        </w:rPr>
        <w:t xml:space="preserve">and/or additional information </w:t>
      </w:r>
      <w:r w:rsidR="003A5586" w:rsidRPr="0004627E">
        <w:rPr>
          <w:rFonts w:asciiTheme="majorHAnsi" w:hAnsiTheme="majorHAnsi" w:cstheme="majorHAnsi"/>
          <w:sz w:val="22"/>
          <w:szCs w:val="22"/>
        </w:rPr>
        <w:t xml:space="preserve">relevant to </w:t>
      </w:r>
      <w:r w:rsidR="00A2750F">
        <w:rPr>
          <w:rFonts w:asciiTheme="majorHAnsi" w:hAnsiTheme="majorHAnsi" w:cstheme="majorHAnsi"/>
          <w:sz w:val="22"/>
          <w:szCs w:val="22"/>
        </w:rPr>
        <w:t>course</w:t>
      </w:r>
      <w:r w:rsidR="00A2750F">
        <w:rPr>
          <w:rFonts w:asciiTheme="majorHAnsi" w:hAnsiTheme="majorHAnsi" w:cstheme="majorHAnsi"/>
          <w:sz w:val="22"/>
          <w:szCs w:val="22"/>
        </w:rPr>
        <w:br w:type="page"/>
      </w:r>
    </w:p>
    <w:p w14:paraId="659064F5" w14:textId="5047A0E0" w:rsidR="002B61E9" w:rsidRDefault="00DD2056" w:rsidP="00904F34">
      <w:pPr>
        <w:rPr>
          <w:rFonts w:asciiTheme="majorHAnsi" w:hAnsiTheme="majorHAnsi" w:cstheme="majorHAnsi"/>
          <w:sz w:val="22"/>
          <w:szCs w:val="22"/>
        </w:rPr>
      </w:pPr>
      <w:proofErr w:type="gramStart"/>
      <w:r w:rsidRPr="0004627E">
        <w:rPr>
          <w:rFonts w:asciiTheme="majorHAnsi" w:hAnsiTheme="majorHAnsi" w:cstheme="majorHAnsi"/>
          <w:sz w:val="22"/>
          <w:szCs w:val="22"/>
        </w:rPr>
        <w:lastRenderedPageBreak/>
        <w:t>placement</w:t>
      </w:r>
      <w:proofErr w:type="gramEnd"/>
      <w:r w:rsidRPr="0004627E">
        <w:rPr>
          <w:rFonts w:asciiTheme="majorHAnsi" w:hAnsiTheme="majorHAnsi" w:cstheme="majorHAnsi"/>
          <w:sz w:val="22"/>
          <w:szCs w:val="22"/>
        </w:rPr>
        <w:t xml:space="preserve"> </w:t>
      </w:r>
      <w:r w:rsidR="002B61E9" w:rsidRPr="0004627E">
        <w:rPr>
          <w:rFonts w:asciiTheme="majorHAnsi" w:hAnsiTheme="majorHAnsi" w:cstheme="majorHAnsi"/>
          <w:sz w:val="22"/>
          <w:szCs w:val="22"/>
        </w:rPr>
        <w:t xml:space="preserve">from all developmental writing students by the end of the first week of the term to identify </w:t>
      </w:r>
      <w:r w:rsidR="002B61E9" w:rsidRPr="002B61E9">
        <w:rPr>
          <w:rFonts w:asciiTheme="majorHAnsi" w:hAnsiTheme="majorHAnsi" w:cstheme="majorHAnsi"/>
          <w:sz w:val="22"/>
          <w:szCs w:val="22"/>
        </w:rPr>
        <w:t xml:space="preserve">students who may benefit from ESOL instruction. Students electing to withdraw and re-enroll in an ESOL course based on a faculty recommendation should be allowed to do so without penalty provided there is sufficient room in the requested course and the student has initiated the request within a reasonable amount of time. </w:t>
      </w:r>
    </w:p>
    <w:p w14:paraId="15B51A49" w14:textId="77777777" w:rsidR="00DD2056" w:rsidRPr="002B61E9" w:rsidRDefault="00DD2056" w:rsidP="00904F34">
      <w:pPr>
        <w:rPr>
          <w:rFonts w:asciiTheme="majorHAnsi" w:hAnsiTheme="majorHAnsi" w:cstheme="majorHAnsi"/>
          <w:sz w:val="22"/>
          <w:szCs w:val="22"/>
        </w:rPr>
      </w:pPr>
    </w:p>
    <w:p w14:paraId="21D367CA" w14:textId="402807B2" w:rsidR="00520379" w:rsidRDefault="002B61E9" w:rsidP="00904F34">
      <w:pPr>
        <w:rPr>
          <w:rFonts w:asciiTheme="majorHAnsi" w:hAnsiTheme="majorHAnsi" w:cstheme="majorHAnsi"/>
          <w:b/>
          <w:bCs/>
          <w:color w:val="00B050"/>
          <w:sz w:val="22"/>
          <w:szCs w:val="22"/>
        </w:rPr>
      </w:pPr>
      <w:r w:rsidRPr="002B61E9">
        <w:rPr>
          <w:rFonts w:asciiTheme="majorHAnsi" w:hAnsiTheme="majorHAnsi" w:cstheme="majorHAnsi"/>
          <w:sz w:val="22"/>
          <w:szCs w:val="22"/>
        </w:rPr>
        <w:t>Colleges and universities who deviate from this approach should determine and document the means through which ELL will be placed. This process should be posted on the college or university website and made accessible to students.</w:t>
      </w:r>
    </w:p>
    <w:p w14:paraId="5613BB6B" w14:textId="77777777" w:rsidR="00520379" w:rsidRPr="00193754" w:rsidRDefault="00520379" w:rsidP="00904F34">
      <w:pPr>
        <w:rPr>
          <w:rFonts w:asciiTheme="majorHAnsi" w:hAnsiTheme="majorHAnsi" w:cstheme="majorHAnsi"/>
          <w:b/>
          <w:bCs/>
          <w:sz w:val="28"/>
          <w:szCs w:val="22"/>
        </w:rPr>
      </w:pPr>
    </w:p>
    <w:p w14:paraId="4A392359" w14:textId="747A7228" w:rsidR="002B61E9" w:rsidRPr="002B61E9" w:rsidRDefault="002B61E9" w:rsidP="00904F34">
      <w:pPr>
        <w:rPr>
          <w:rFonts w:asciiTheme="majorHAnsi" w:hAnsiTheme="majorHAnsi" w:cstheme="majorHAnsi"/>
          <w:b/>
          <w:bCs/>
          <w:color w:val="00B050"/>
          <w:sz w:val="22"/>
          <w:szCs w:val="22"/>
        </w:rPr>
      </w:pPr>
      <w:r w:rsidRPr="002B61E9">
        <w:rPr>
          <w:rFonts w:asciiTheme="majorHAnsi" w:hAnsiTheme="majorHAnsi" w:cstheme="majorHAnsi"/>
          <w:b/>
          <w:bCs/>
          <w:color w:val="00B050"/>
          <w:sz w:val="22"/>
          <w:szCs w:val="22"/>
        </w:rPr>
        <w:t>Retesting and Re-evaluation of Initial Placement</w:t>
      </w:r>
      <w:r w:rsidR="00CC06D3">
        <w:rPr>
          <w:rFonts w:asciiTheme="majorHAnsi" w:hAnsiTheme="majorHAnsi" w:cstheme="majorHAnsi"/>
          <w:b/>
          <w:bCs/>
          <w:color w:val="00B050"/>
          <w:sz w:val="22"/>
          <w:szCs w:val="22"/>
        </w:rPr>
        <w:t xml:space="preserve"> </w:t>
      </w:r>
      <w:r w:rsidR="0004627E" w:rsidRPr="0004627E">
        <w:rPr>
          <w:rFonts w:asciiTheme="majorHAnsi" w:hAnsiTheme="majorHAnsi" w:cstheme="majorHAnsi"/>
          <w:b/>
          <w:bCs/>
          <w:color w:val="00B050"/>
          <w:sz w:val="22"/>
          <w:szCs w:val="22"/>
        </w:rPr>
        <w:t>(REVISED)</w:t>
      </w:r>
    </w:p>
    <w:p w14:paraId="0D0DF9D5" w14:textId="7D03A781" w:rsidR="002B61E9" w:rsidRPr="0004627E" w:rsidRDefault="002B61E9" w:rsidP="00904F34">
      <w:pPr>
        <w:rPr>
          <w:rFonts w:asciiTheme="majorHAnsi" w:hAnsiTheme="majorHAnsi" w:cstheme="majorHAnsi"/>
          <w:sz w:val="22"/>
          <w:szCs w:val="22"/>
        </w:rPr>
      </w:pPr>
      <w:r w:rsidRPr="0004627E">
        <w:rPr>
          <w:rFonts w:asciiTheme="majorHAnsi" w:hAnsiTheme="majorHAnsi" w:cstheme="majorHAnsi"/>
          <w:sz w:val="22"/>
          <w:szCs w:val="22"/>
        </w:rPr>
        <w:t>Due to the suspension of on-site</w:t>
      </w:r>
      <w:r w:rsidR="004205FC" w:rsidRPr="0004627E">
        <w:rPr>
          <w:rFonts w:asciiTheme="majorHAnsi" w:hAnsiTheme="majorHAnsi" w:cstheme="majorHAnsi"/>
          <w:sz w:val="22"/>
          <w:szCs w:val="22"/>
        </w:rPr>
        <w:t xml:space="preserve"> </w:t>
      </w:r>
      <w:r w:rsidRPr="0004627E">
        <w:rPr>
          <w:rFonts w:asciiTheme="majorHAnsi" w:hAnsiTheme="majorHAnsi" w:cstheme="majorHAnsi"/>
          <w:sz w:val="22"/>
          <w:szCs w:val="22"/>
        </w:rPr>
        <w:t>course placement testing</w:t>
      </w:r>
      <w:r w:rsidR="00361E91" w:rsidRPr="0004627E">
        <w:rPr>
          <w:rFonts w:asciiTheme="majorHAnsi" w:hAnsiTheme="majorHAnsi" w:cstheme="majorHAnsi"/>
          <w:sz w:val="22"/>
          <w:szCs w:val="22"/>
        </w:rPr>
        <w:t xml:space="preserve"> and the current constraints associated with ACCUPLACER remote proctoring</w:t>
      </w:r>
      <w:r w:rsidRPr="0004627E">
        <w:rPr>
          <w:rFonts w:asciiTheme="majorHAnsi" w:hAnsiTheme="majorHAnsi" w:cstheme="majorHAnsi"/>
          <w:sz w:val="22"/>
          <w:szCs w:val="22"/>
        </w:rPr>
        <w:t xml:space="preserve">, students requesting a re-evaluation of their initial placement should be routed through the measures used for the general student population outlined above. </w:t>
      </w:r>
      <w:r w:rsidR="00CC06D3" w:rsidRPr="0004627E">
        <w:rPr>
          <w:rFonts w:asciiTheme="majorHAnsi" w:hAnsiTheme="majorHAnsi" w:cstheme="majorHAnsi"/>
          <w:sz w:val="22"/>
          <w:szCs w:val="22"/>
        </w:rPr>
        <w:t>I</w:t>
      </w:r>
      <w:r w:rsidR="00361E91" w:rsidRPr="0004627E">
        <w:rPr>
          <w:rFonts w:asciiTheme="majorHAnsi" w:hAnsiTheme="majorHAnsi" w:cstheme="majorHAnsi"/>
          <w:sz w:val="22"/>
          <w:szCs w:val="22"/>
        </w:rPr>
        <w:t>f a student is unable to take the ACCUPLACER via the official remote proctoring process</w:t>
      </w:r>
      <w:r w:rsidR="00CC06D3" w:rsidRPr="0004627E">
        <w:rPr>
          <w:rFonts w:asciiTheme="majorHAnsi" w:hAnsiTheme="majorHAnsi" w:cstheme="majorHAnsi"/>
          <w:sz w:val="22"/>
          <w:szCs w:val="22"/>
        </w:rPr>
        <w:t xml:space="preserve">, initial placement decisions may be re-evaluated using standalone HS GPA until further notice. </w:t>
      </w:r>
      <w:r w:rsidRPr="0004627E">
        <w:rPr>
          <w:rFonts w:asciiTheme="majorHAnsi" w:hAnsiTheme="majorHAnsi" w:cstheme="majorHAnsi"/>
          <w:sz w:val="22"/>
          <w:szCs w:val="22"/>
        </w:rPr>
        <w:t xml:space="preserve">At no point shall a student who is requesting a re-evaluation of their initial placement be directed to enroll in a course that is at a lower level than indicated within their initial placement. </w:t>
      </w:r>
    </w:p>
    <w:p w14:paraId="76C48BE7" w14:textId="77777777" w:rsidR="004205FC" w:rsidRPr="002B61E9" w:rsidRDefault="004205FC" w:rsidP="00904F34">
      <w:pPr>
        <w:rPr>
          <w:rFonts w:asciiTheme="majorHAnsi" w:hAnsiTheme="majorHAnsi" w:cstheme="majorHAnsi"/>
          <w:sz w:val="22"/>
          <w:szCs w:val="22"/>
        </w:rPr>
      </w:pPr>
    </w:p>
    <w:p w14:paraId="3ECB3C59" w14:textId="4FFD7D12" w:rsidR="002B61E9" w:rsidRDefault="00361E91" w:rsidP="00904F34">
      <w:pPr>
        <w:rPr>
          <w:rFonts w:asciiTheme="majorHAnsi" w:hAnsiTheme="majorHAnsi" w:cstheme="majorHAnsi"/>
          <w:sz w:val="22"/>
          <w:szCs w:val="22"/>
        </w:rPr>
      </w:pPr>
      <w:r>
        <w:rPr>
          <w:rFonts w:asciiTheme="majorHAnsi" w:hAnsiTheme="majorHAnsi" w:cstheme="majorHAnsi"/>
          <w:sz w:val="22"/>
          <w:szCs w:val="22"/>
        </w:rPr>
        <w:t>A</w:t>
      </w:r>
      <w:r w:rsidRPr="002B61E9">
        <w:rPr>
          <w:rFonts w:asciiTheme="majorHAnsi" w:hAnsiTheme="majorHAnsi" w:cstheme="majorHAnsi"/>
          <w:sz w:val="22"/>
          <w:szCs w:val="22"/>
        </w:rPr>
        <w:t xml:space="preserve">ny </w:t>
      </w:r>
      <w:r w:rsidR="002B61E9" w:rsidRPr="002B61E9">
        <w:rPr>
          <w:rFonts w:asciiTheme="majorHAnsi" w:hAnsiTheme="majorHAnsi" w:cstheme="majorHAnsi"/>
          <w:sz w:val="22"/>
          <w:szCs w:val="22"/>
        </w:rPr>
        <w:t>student requesting to re-take the ACCUPLACER through a</w:t>
      </w:r>
      <w:r w:rsidR="0009522D">
        <w:rPr>
          <w:rFonts w:asciiTheme="majorHAnsi" w:hAnsiTheme="majorHAnsi" w:cstheme="majorHAnsi"/>
          <w:sz w:val="22"/>
          <w:szCs w:val="22"/>
        </w:rPr>
        <w:t xml:space="preserve"> College Board-approved</w:t>
      </w:r>
      <w:r w:rsidR="002B61E9" w:rsidRPr="002B61E9">
        <w:rPr>
          <w:rFonts w:asciiTheme="majorHAnsi" w:hAnsiTheme="majorHAnsi" w:cstheme="majorHAnsi"/>
          <w:sz w:val="22"/>
          <w:szCs w:val="22"/>
        </w:rPr>
        <w:t xml:space="preserve"> remote proctoring service </w:t>
      </w:r>
      <w:r w:rsidR="004205FC">
        <w:rPr>
          <w:rFonts w:asciiTheme="majorHAnsi" w:hAnsiTheme="majorHAnsi" w:cstheme="majorHAnsi"/>
          <w:sz w:val="22"/>
          <w:szCs w:val="22"/>
        </w:rPr>
        <w:t>shall</w:t>
      </w:r>
      <w:r w:rsidR="004205FC" w:rsidRPr="002B61E9">
        <w:rPr>
          <w:rFonts w:asciiTheme="majorHAnsi" w:hAnsiTheme="majorHAnsi" w:cstheme="majorHAnsi"/>
          <w:sz w:val="22"/>
          <w:szCs w:val="22"/>
        </w:rPr>
        <w:t xml:space="preserve"> </w:t>
      </w:r>
      <w:r w:rsidR="002B61E9" w:rsidRPr="002B61E9">
        <w:rPr>
          <w:rFonts w:asciiTheme="majorHAnsi" w:hAnsiTheme="majorHAnsi" w:cstheme="majorHAnsi"/>
          <w:sz w:val="22"/>
          <w:szCs w:val="22"/>
        </w:rPr>
        <w:t xml:space="preserve">be allowed to do so as outlined within System Procedure 3.3.1 </w:t>
      </w:r>
      <w:r w:rsidR="00934AD6">
        <w:rPr>
          <w:rFonts w:asciiTheme="majorHAnsi" w:hAnsiTheme="majorHAnsi" w:cstheme="majorHAnsi"/>
          <w:sz w:val="22"/>
          <w:szCs w:val="22"/>
        </w:rPr>
        <w:t xml:space="preserve">as local capacity allows </w:t>
      </w:r>
      <w:r w:rsidR="002B61E9" w:rsidRPr="002B61E9">
        <w:rPr>
          <w:rFonts w:asciiTheme="majorHAnsi" w:hAnsiTheme="majorHAnsi" w:cstheme="majorHAnsi"/>
          <w:sz w:val="22"/>
          <w:szCs w:val="22"/>
        </w:rPr>
        <w:t xml:space="preserve">unless financial constraints </w:t>
      </w:r>
      <w:r>
        <w:rPr>
          <w:rFonts w:asciiTheme="majorHAnsi" w:hAnsiTheme="majorHAnsi" w:cstheme="majorHAnsi"/>
          <w:sz w:val="22"/>
          <w:szCs w:val="22"/>
        </w:rPr>
        <w:t xml:space="preserve">or technology access </w:t>
      </w:r>
      <w:r w:rsidR="002B61E9" w:rsidRPr="002B61E9">
        <w:rPr>
          <w:rFonts w:asciiTheme="majorHAnsi" w:hAnsiTheme="majorHAnsi" w:cstheme="majorHAnsi"/>
          <w:sz w:val="22"/>
          <w:szCs w:val="22"/>
        </w:rPr>
        <w:t>limit or preclude the use of online proctoring.</w:t>
      </w:r>
    </w:p>
    <w:p w14:paraId="5EDF3D90" w14:textId="77777777" w:rsidR="00904F34" w:rsidRPr="00193754" w:rsidRDefault="00904F34" w:rsidP="00904F34">
      <w:pPr>
        <w:rPr>
          <w:rFonts w:asciiTheme="majorHAnsi" w:hAnsiTheme="majorHAnsi" w:cstheme="majorHAnsi"/>
          <w:sz w:val="28"/>
          <w:szCs w:val="22"/>
        </w:rPr>
      </w:pPr>
    </w:p>
    <w:p w14:paraId="428B2219" w14:textId="77777777" w:rsidR="002B61E9" w:rsidRPr="002B61E9" w:rsidRDefault="002B61E9" w:rsidP="00904F34">
      <w:pPr>
        <w:rPr>
          <w:rFonts w:asciiTheme="majorHAnsi" w:hAnsiTheme="majorHAnsi" w:cstheme="majorHAnsi"/>
          <w:b/>
          <w:bCs/>
          <w:color w:val="00B050"/>
          <w:sz w:val="22"/>
          <w:szCs w:val="22"/>
        </w:rPr>
      </w:pPr>
      <w:r w:rsidRPr="002B61E9">
        <w:rPr>
          <w:rFonts w:asciiTheme="majorHAnsi" w:hAnsiTheme="majorHAnsi" w:cstheme="majorHAnsi"/>
          <w:b/>
          <w:bCs/>
          <w:color w:val="00B050"/>
          <w:sz w:val="22"/>
          <w:szCs w:val="22"/>
        </w:rPr>
        <w:t>Additional Considerations</w:t>
      </w:r>
    </w:p>
    <w:p w14:paraId="6EA7F850" w14:textId="77777777" w:rsidR="002B61E9" w:rsidRPr="002B61E9" w:rsidRDefault="002B61E9" w:rsidP="00904F34">
      <w:pPr>
        <w:rPr>
          <w:rFonts w:asciiTheme="majorHAnsi" w:hAnsiTheme="majorHAnsi" w:cstheme="majorHAnsi"/>
          <w:sz w:val="22"/>
          <w:szCs w:val="22"/>
        </w:rPr>
      </w:pPr>
      <w:r w:rsidRPr="002B61E9">
        <w:rPr>
          <w:rFonts w:asciiTheme="majorHAnsi" w:hAnsiTheme="majorHAnsi" w:cstheme="majorHAnsi"/>
          <w:sz w:val="22"/>
          <w:szCs w:val="22"/>
        </w:rPr>
        <w:t>Colleges and universities should identify the means and measures for obtaining alternate course placement data in the absence of ACCUPLACER scores for the following:</w:t>
      </w:r>
    </w:p>
    <w:p w14:paraId="3CEE1018" w14:textId="77777777" w:rsidR="002B61E9" w:rsidRPr="002B61E9" w:rsidRDefault="002B61E9" w:rsidP="00904F34">
      <w:pPr>
        <w:pStyle w:val="ListParagraph"/>
        <w:numPr>
          <w:ilvl w:val="0"/>
          <w:numId w:val="10"/>
        </w:numPr>
        <w:contextualSpacing w:val="0"/>
        <w:rPr>
          <w:rFonts w:asciiTheme="majorHAnsi" w:hAnsiTheme="majorHAnsi" w:cstheme="majorHAnsi"/>
          <w:sz w:val="22"/>
          <w:szCs w:val="22"/>
        </w:rPr>
      </w:pPr>
      <w:r w:rsidRPr="002B61E9">
        <w:rPr>
          <w:rFonts w:asciiTheme="majorHAnsi" w:hAnsiTheme="majorHAnsi" w:cstheme="majorHAnsi"/>
          <w:sz w:val="22"/>
          <w:szCs w:val="22"/>
        </w:rPr>
        <w:t>Program admission requirements;</w:t>
      </w:r>
    </w:p>
    <w:p w14:paraId="13EC4C74" w14:textId="77777777" w:rsidR="002B61E9" w:rsidRPr="002B61E9" w:rsidRDefault="002B61E9" w:rsidP="00904F34">
      <w:pPr>
        <w:pStyle w:val="ListParagraph"/>
        <w:numPr>
          <w:ilvl w:val="0"/>
          <w:numId w:val="10"/>
        </w:numPr>
        <w:contextualSpacing w:val="0"/>
        <w:rPr>
          <w:rFonts w:asciiTheme="majorHAnsi" w:hAnsiTheme="majorHAnsi" w:cstheme="majorHAnsi"/>
          <w:sz w:val="22"/>
          <w:szCs w:val="22"/>
        </w:rPr>
      </w:pPr>
      <w:r w:rsidRPr="002B61E9">
        <w:rPr>
          <w:rFonts w:asciiTheme="majorHAnsi" w:hAnsiTheme="majorHAnsi" w:cstheme="majorHAnsi"/>
          <w:sz w:val="22"/>
          <w:szCs w:val="22"/>
        </w:rPr>
        <w:t>Course pre-requisites;</w:t>
      </w:r>
    </w:p>
    <w:p w14:paraId="6B3DA88C" w14:textId="77777777" w:rsidR="002B61E9" w:rsidRPr="002B61E9" w:rsidRDefault="002B61E9" w:rsidP="00904F34">
      <w:pPr>
        <w:pStyle w:val="ListParagraph"/>
        <w:numPr>
          <w:ilvl w:val="0"/>
          <w:numId w:val="10"/>
        </w:numPr>
        <w:contextualSpacing w:val="0"/>
        <w:rPr>
          <w:rFonts w:asciiTheme="majorHAnsi" w:hAnsiTheme="majorHAnsi" w:cstheme="majorHAnsi"/>
          <w:sz w:val="22"/>
          <w:szCs w:val="22"/>
        </w:rPr>
      </w:pPr>
      <w:r w:rsidRPr="002B61E9">
        <w:rPr>
          <w:rFonts w:asciiTheme="majorHAnsi" w:hAnsiTheme="majorHAnsi" w:cstheme="majorHAnsi"/>
          <w:sz w:val="22"/>
          <w:szCs w:val="22"/>
        </w:rPr>
        <w:t>Developmental course placements;</w:t>
      </w:r>
    </w:p>
    <w:p w14:paraId="3777FBB8" w14:textId="77777777" w:rsidR="002B61E9" w:rsidRPr="002B61E9" w:rsidRDefault="002B61E9" w:rsidP="00904F34">
      <w:pPr>
        <w:pStyle w:val="ListParagraph"/>
        <w:numPr>
          <w:ilvl w:val="0"/>
          <w:numId w:val="10"/>
        </w:numPr>
        <w:contextualSpacing w:val="0"/>
        <w:rPr>
          <w:rFonts w:asciiTheme="majorHAnsi" w:hAnsiTheme="majorHAnsi" w:cstheme="majorHAnsi"/>
          <w:sz w:val="22"/>
          <w:szCs w:val="22"/>
        </w:rPr>
      </w:pPr>
      <w:r w:rsidRPr="002B61E9">
        <w:rPr>
          <w:rFonts w:asciiTheme="majorHAnsi" w:hAnsiTheme="majorHAnsi" w:cstheme="majorHAnsi"/>
          <w:sz w:val="22"/>
          <w:szCs w:val="22"/>
        </w:rPr>
        <w:t>Higher level course placements (e.g., Calculus);</w:t>
      </w:r>
    </w:p>
    <w:p w14:paraId="11009B3D" w14:textId="77777777" w:rsidR="002B61E9" w:rsidRPr="002B61E9" w:rsidRDefault="002B61E9" w:rsidP="00904F34">
      <w:pPr>
        <w:pStyle w:val="ListParagraph"/>
        <w:numPr>
          <w:ilvl w:val="0"/>
          <w:numId w:val="10"/>
        </w:numPr>
        <w:contextualSpacing w:val="0"/>
        <w:rPr>
          <w:rFonts w:asciiTheme="majorHAnsi" w:hAnsiTheme="majorHAnsi" w:cstheme="majorHAnsi"/>
          <w:sz w:val="22"/>
          <w:szCs w:val="22"/>
        </w:rPr>
      </w:pPr>
      <w:r w:rsidRPr="002B61E9">
        <w:rPr>
          <w:rFonts w:asciiTheme="majorHAnsi" w:hAnsiTheme="majorHAnsi" w:cstheme="majorHAnsi"/>
          <w:sz w:val="22"/>
          <w:szCs w:val="22"/>
        </w:rPr>
        <w:t xml:space="preserve">Courses outside of reading, writing, and mathematics; </w:t>
      </w:r>
    </w:p>
    <w:p w14:paraId="5F501B05" w14:textId="77777777" w:rsidR="002B61E9" w:rsidRPr="002B61E9" w:rsidRDefault="002B61E9" w:rsidP="00904F34">
      <w:pPr>
        <w:pStyle w:val="ListParagraph"/>
        <w:numPr>
          <w:ilvl w:val="0"/>
          <w:numId w:val="10"/>
        </w:numPr>
        <w:contextualSpacing w:val="0"/>
        <w:rPr>
          <w:rFonts w:asciiTheme="majorHAnsi" w:hAnsiTheme="majorHAnsi" w:cstheme="majorHAnsi"/>
          <w:sz w:val="22"/>
          <w:szCs w:val="22"/>
        </w:rPr>
      </w:pPr>
      <w:r w:rsidRPr="002B61E9">
        <w:rPr>
          <w:rFonts w:asciiTheme="majorHAnsi" w:hAnsiTheme="majorHAnsi" w:cstheme="majorHAnsi"/>
          <w:sz w:val="22"/>
          <w:szCs w:val="22"/>
        </w:rPr>
        <w:t>Summer bridge program eligibility, and;</w:t>
      </w:r>
    </w:p>
    <w:p w14:paraId="1F2980EF" w14:textId="77777777" w:rsidR="002B61E9" w:rsidRPr="002B61E9" w:rsidRDefault="002B61E9" w:rsidP="00904F34">
      <w:pPr>
        <w:pStyle w:val="ListParagraph"/>
        <w:numPr>
          <w:ilvl w:val="0"/>
          <w:numId w:val="10"/>
        </w:numPr>
        <w:contextualSpacing w:val="0"/>
        <w:rPr>
          <w:rFonts w:asciiTheme="majorHAnsi" w:hAnsiTheme="majorHAnsi" w:cstheme="majorHAnsi"/>
          <w:sz w:val="22"/>
          <w:szCs w:val="22"/>
        </w:rPr>
      </w:pPr>
      <w:r w:rsidRPr="002B61E9">
        <w:rPr>
          <w:rFonts w:asciiTheme="majorHAnsi" w:hAnsiTheme="majorHAnsi" w:cstheme="majorHAnsi"/>
          <w:sz w:val="22"/>
          <w:szCs w:val="22"/>
        </w:rPr>
        <w:t>Any other local decisions for which ACCUPLACER score data is used.</w:t>
      </w:r>
    </w:p>
    <w:p w14:paraId="2DF9543B" w14:textId="70BA271F" w:rsidR="00477639" w:rsidRDefault="00477639" w:rsidP="00904F34">
      <w:pPr>
        <w:rPr>
          <w:rFonts w:asciiTheme="majorHAnsi" w:hAnsiTheme="majorHAnsi" w:cstheme="majorHAnsi"/>
          <w:sz w:val="22"/>
          <w:szCs w:val="22"/>
        </w:rPr>
      </w:pPr>
    </w:p>
    <w:p w14:paraId="21AE86E7" w14:textId="77777777" w:rsidR="007A3A6D" w:rsidRDefault="007A3A6D" w:rsidP="00904F34">
      <w:pPr>
        <w:rPr>
          <w:rFonts w:asciiTheme="majorHAnsi" w:hAnsiTheme="majorHAnsi" w:cstheme="majorHAnsi"/>
          <w:sz w:val="22"/>
          <w:szCs w:val="22"/>
        </w:rPr>
      </w:pPr>
    </w:p>
    <w:p w14:paraId="472AAD25" w14:textId="77777777" w:rsidR="007A3A6D" w:rsidRDefault="007A3A6D" w:rsidP="00904F34">
      <w:pPr>
        <w:rPr>
          <w:rFonts w:asciiTheme="majorHAnsi" w:hAnsiTheme="majorHAnsi" w:cstheme="majorHAnsi"/>
          <w:sz w:val="22"/>
          <w:szCs w:val="22"/>
        </w:rPr>
      </w:pPr>
    </w:p>
    <w:p w14:paraId="4A44E532" w14:textId="3F7A0550" w:rsidR="003C3426" w:rsidRPr="003C3426" w:rsidRDefault="003C3426" w:rsidP="00904F34">
      <w:pPr>
        <w:rPr>
          <w:rFonts w:asciiTheme="majorHAnsi" w:hAnsiTheme="majorHAnsi" w:cstheme="majorHAnsi"/>
          <w:sz w:val="22"/>
          <w:szCs w:val="22"/>
        </w:rPr>
      </w:pPr>
      <w:r w:rsidRPr="003C3426">
        <w:rPr>
          <w:rFonts w:asciiTheme="majorHAnsi" w:hAnsiTheme="majorHAnsi" w:cstheme="majorHAnsi"/>
          <w:sz w:val="22"/>
          <w:szCs w:val="22"/>
        </w:rPr>
        <w:t>cc:</w:t>
      </w:r>
      <w:r w:rsidRPr="003C3426">
        <w:rPr>
          <w:rFonts w:asciiTheme="majorHAnsi" w:hAnsiTheme="majorHAnsi" w:cstheme="majorHAnsi"/>
          <w:sz w:val="22"/>
          <w:szCs w:val="22"/>
        </w:rPr>
        <w:tab/>
        <w:t>Senior Academic Officers</w:t>
      </w:r>
    </w:p>
    <w:p w14:paraId="50198CE6" w14:textId="77777777" w:rsidR="003C3426" w:rsidRPr="003C3426" w:rsidRDefault="003C3426" w:rsidP="00904F34">
      <w:pPr>
        <w:ind w:left="720"/>
        <w:rPr>
          <w:rFonts w:asciiTheme="majorHAnsi" w:hAnsiTheme="majorHAnsi" w:cstheme="majorHAnsi"/>
          <w:sz w:val="22"/>
          <w:szCs w:val="22"/>
        </w:rPr>
      </w:pPr>
      <w:r w:rsidRPr="003C3426">
        <w:rPr>
          <w:rFonts w:asciiTheme="majorHAnsi" w:hAnsiTheme="majorHAnsi" w:cstheme="majorHAnsi"/>
          <w:sz w:val="22"/>
          <w:szCs w:val="22"/>
        </w:rPr>
        <w:t>Senior Student Affairs Officers</w:t>
      </w:r>
    </w:p>
    <w:p w14:paraId="7F3F364F" w14:textId="77777777" w:rsidR="003C3426" w:rsidRPr="003C3426" w:rsidRDefault="003C3426" w:rsidP="00904F34">
      <w:pPr>
        <w:ind w:left="720"/>
        <w:rPr>
          <w:rFonts w:asciiTheme="majorHAnsi" w:hAnsiTheme="majorHAnsi" w:cstheme="majorHAnsi"/>
          <w:sz w:val="22"/>
          <w:szCs w:val="22"/>
        </w:rPr>
      </w:pPr>
      <w:r w:rsidRPr="003C3426">
        <w:rPr>
          <w:rFonts w:asciiTheme="majorHAnsi" w:hAnsiTheme="majorHAnsi" w:cstheme="majorHAnsi"/>
          <w:sz w:val="22"/>
          <w:szCs w:val="22"/>
        </w:rPr>
        <w:t>College and University Deans</w:t>
      </w:r>
    </w:p>
    <w:p w14:paraId="37135DF9" w14:textId="77777777" w:rsidR="003C3426" w:rsidRPr="003C3426" w:rsidRDefault="003C3426" w:rsidP="00904F34">
      <w:pPr>
        <w:ind w:left="720"/>
        <w:rPr>
          <w:rFonts w:asciiTheme="majorHAnsi" w:hAnsiTheme="majorHAnsi" w:cstheme="majorHAnsi"/>
          <w:sz w:val="22"/>
          <w:szCs w:val="22"/>
        </w:rPr>
      </w:pPr>
      <w:r w:rsidRPr="003C3426">
        <w:rPr>
          <w:rFonts w:asciiTheme="majorHAnsi" w:hAnsiTheme="majorHAnsi" w:cstheme="majorHAnsi"/>
          <w:sz w:val="22"/>
          <w:szCs w:val="22"/>
        </w:rPr>
        <w:t>Testing Directors</w:t>
      </w:r>
    </w:p>
    <w:p w14:paraId="7D08FB3C" w14:textId="77777777" w:rsidR="003C3426" w:rsidRPr="003C3426" w:rsidRDefault="003C3426" w:rsidP="00904F34">
      <w:pPr>
        <w:ind w:left="720"/>
        <w:rPr>
          <w:rFonts w:asciiTheme="majorHAnsi" w:hAnsiTheme="majorHAnsi" w:cstheme="majorHAnsi"/>
          <w:sz w:val="22"/>
          <w:szCs w:val="22"/>
        </w:rPr>
      </w:pPr>
      <w:r w:rsidRPr="003C3426">
        <w:rPr>
          <w:rFonts w:asciiTheme="majorHAnsi" w:hAnsiTheme="majorHAnsi" w:cstheme="majorHAnsi"/>
          <w:sz w:val="22"/>
          <w:szCs w:val="22"/>
        </w:rPr>
        <w:t>PSEO Directors</w:t>
      </w:r>
    </w:p>
    <w:p w14:paraId="66793AD6" w14:textId="4AB40783" w:rsidR="003C3426" w:rsidRPr="002B61E9" w:rsidRDefault="003C3426" w:rsidP="000E5E29">
      <w:pPr>
        <w:ind w:left="720"/>
        <w:rPr>
          <w:rFonts w:asciiTheme="majorHAnsi" w:hAnsiTheme="majorHAnsi" w:cstheme="majorHAnsi"/>
          <w:sz w:val="22"/>
          <w:szCs w:val="22"/>
        </w:rPr>
      </w:pPr>
      <w:r w:rsidRPr="003C3426">
        <w:rPr>
          <w:rFonts w:asciiTheme="majorHAnsi" w:hAnsiTheme="majorHAnsi" w:cstheme="majorHAnsi"/>
          <w:sz w:val="22"/>
          <w:szCs w:val="22"/>
        </w:rPr>
        <w:t>Concurrent Enrollment Directors</w:t>
      </w:r>
    </w:p>
    <w:sectPr w:rsidR="003C3426" w:rsidRPr="002B61E9" w:rsidSect="000A5F13">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698EC0" w14:textId="77777777" w:rsidR="00546F54" w:rsidRDefault="00546F54" w:rsidP="000D19F8">
      <w:r>
        <w:separator/>
      </w:r>
    </w:p>
  </w:endnote>
  <w:endnote w:type="continuationSeparator" w:id="0">
    <w:p w14:paraId="4FC6C838" w14:textId="77777777" w:rsidR="00546F54" w:rsidRDefault="00546F54" w:rsidP="000D1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706B5" w14:textId="45C9189D" w:rsidR="00891026" w:rsidRPr="00891026" w:rsidRDefault="00891026">
    <w:pPr>
      <w:tabs>
        <w:tab w:val="center" w:pos="4550"/>
        <w:tab w:val="left" w:pos="5818"/>
      </w:tabs>
      <w:ind w:right="260"/>
      <w:jc w:val="right"/>
      <w:rPr>
        <w:color w:val="00B050"/>
        <w:sz w:val="20"/>
      </w:rPr>
    </w:pPr>
    <w:r w:rsidRPr="00891026">
      <w:rPr>
        <w:color w:val="00B050"/>
        <w:spacing w:val="60"/>
        <w:sz w:val="20"/>
      </w:rPr>
      <w:t>Page</w:t>
    </w:r>
    <w:r w:rsidRPr="00891026">
      <w:rPr>
        <w:color w:val="00B050"/>
        <w:sz w:val="20"/>
      </w:rPr>
      <w:t xml:space="preserve"> </w:t>
    </w:r>
    <w:r w:rsidRPr="00891026">
      <w:rPr>
        <w:color w:val="00B050"/>
        <w:sz w:val="20"/>
      </w:rPr>
      <w:fldChar w:fldCharType="begin"/>
    </w:r>
    <w:r w:rsidRPr="00891026">
      <w:rPr>
        <w:color w:val="00B050"/>
        <w:sz w:val="20"/>
      </w:rPr>
      <w:instrText xml:space="preserve"> PAGE   \* MERGEFORMAT </w:instrText>
    </w:r>
    <w:r w:rsidRPr="00891026">
      <w:rPr>
        <w:color w:val="00B050"/>
        <w:sz w:val="20"/>
      </w:rPr>
      <w:fldChar w:fldCharType="separate"/>
    </w:r>
    <w:r w:rsidR="00C150AD">
      <w:rPr>
        <w:noProof/>
        <w:color w:val="00B050"/>
        <w:sz w:val="20"/>
      </w:rPr>
      <w:t>4</w:t>
    </w:r>
    <w:r w:rsidRPr="00891026">
      <w:rPr>
        <w:color w:val="00B050"/>
        <w:sz w:val="20"/>
      </w:rPr>
      <w:fldChar w:fldCharType="end"/>
    </w:r>
    <w:r w:rsidRPr="00891026">
      <w:rPr>
        <w:color w:val="00B050"/>
        <w:sz w:val="20"/>
      </w:rPr>
      <w:t xml:space="preserve"> | </w:t>
    </w:r>
    <w:r w:rsidRPr="00891026">
      <w:rPr>
        <w:color w:val="00B050"/>
        <w:sz w:val="20"/>
      </w:rPr>
      <w:fldChar w:fldCharType="begin"/>
    </w:r>
    <w:r w:rsidRPr="00891026">
      <w:rPr>
        <w:color w:val="00B050"/>
        <w:sz w:val="20"/>
      </w:rPr>
      <w:instrText xml:space="preserve"> NUMPAGES  \* Arabic  \* MERGEFORMAT </w:instrText>
    </w:r>
    <w:r w:rsidRPr="00891026">
      <w:rPr>
        <w:color w:val="00B050"/>
        <w:sz w:val="20"/>
      </w:rPr>
      <w:fldChar w:fldCharType="separate"/>
    </w:r>
    <w:r w:rsidR="00C150AD">
      <w:rPr>
        <w:noProof/>
        <w:color w:val="00B050"/>
        <w:sz w:val="20"/>
      </w:rPr>
      <w:t>4</w:t>
    </w:r>
    <w:r w:rsidRPr="00891026">
      <w:rPr>
        <w:color w:val="00B050"/>
        <w:sz w:val="20"/>
      </w:rPr>
      <w:fldChar w:fldCharType="end"/>
    </w:r>
  </w:p>
  <w:p w14:paraId="11F25516" w14:textId="77777777" w:rsidR="009C0C6A" w:rsidRDefault="009C0C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4E256" w14:textId="77777777" w:rsidR="00D12403" w:rsidRDefault="00E6169D" w:rsidP="00D12403">
    <w:pPr>
      <w:pStyle w:val="Footer"/>
      <w:jc w:val="center"/>
      <w:rPr>
        <w:rFonts w:ascii="Calibri" w:hAnsi="Calibri"/>
      </w:rPr>
    </w:pPr>
    <w:r w:rsidRPr="00C11197">
      <w:rPr>
        <w:rFonts w:ascii="Calibri" w:hAnsi="Calibri" w:cs="Times New Roman"/>
        <w:noProof/>
        <w:color w:val="0C2340"/>
      </w:rPr>
      <w:drawing>
        <wp:anchor distT="0" distB="0" distL="114300" distR="114300" simplePos="0" relativeHeight="251657216" behindDoc="1" locked="1" layoutInCell="1" allowOverlap="1" wp14:anchorId="12FC7240" wp14:editId="79B7CF79">
          <wp:simplePos x="0" y="0"/>
          <wp:positionH relativeFrom="page">
            <wp:posOffset>4189095</wp:posOffset>
          </wp:positionH>
          <wp:positionV relativeFrom="page">
            <wp:posOffset>6040120</wp:posOffset>
          </wp:positionV>
          <wp:extent cx="3715385" cy="37395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FooterLowerLeft.png"/>
                  <pic:cNvPicPr/>
                </pic:nvPicPr>
                <pic:blipFill>
                  <a:blip r:embed="rId1">
                    <a:extLst>
                      <a:ext uri="{28A0092B-C50C-407E-A947-70E740481C1C}">
                        <a14:useLocalDpi xmlns:a14="http://schemas.microsoft.com/office/drawing/2010/main" val="0"/>
                      </a:ext>
                    </a:extLst>
                  </a:blip>
                  <a:stretch>
                    <a:fillRect/>
                  </a:stretch>
                </pic:blipFill>
                <pic:spPr>
                  <a:xfrm>
                    <a:off x="0" y="0"/>
                    <a:ext cx="3715385" cy="37395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08CBAC00" w14:textId="77777777" w:rsidR="001914A7" w:rsidRDefault="00EC3AF2" w:rsidP="00EC3AF2">
    <w:pPr>
      <w:pStyle w:val="Footer"/>
      <w:jc w:val="center"/>
    </w:pPr>
    <w:r w:rsidRPr="00226A0C">
      <w:rPr>
        <w:rFonts w:ascii="Calibri" w:hAnsi="Calibri" w:cs="Times New Roman"/>
        <w:i/>
        <w:sz w:val="20"/>
        <w:szCs w:val="20"/>
      </w:rPr>
      <w:t xml:space="preserve">Minnesota State is an </w:t>
    </w:r>
    <w:r>
      <w:rPr>
        <w:rFonts w:ascii="Calibri" w:hAnsi="Calibri" w:cs="Times New Roman"/>
        <w:i/>
        <w:sz w:val="20"/>
        <w:szCs w:val="20"/>
      </w:rPr>
      <w:t>affirmative action, equal opportunity employer and educator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908F4" w14:textId="77777777" w:rsidR="00546F54" w:rsidRDefault="00546F54" w:rsidP="000D19F8">
      <w:r>
        <w:separator/>
      </w:r>
    </w:p>
  </w:footnote>
  <w:footnote w:type="continuationSeparator" w:id="0">
    <w:p w14:paraId="4CF69F90" w14:textId="77777777" w:rsidR="00546F54" w:rsidRDefault="00546F54" w:rsidP="000D1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BC7CB" w14:textId="7681A949" w:rsidR="00D12403" w:rsidRPr="0020671C" w:rsidRDefault="00D12403" w:rsidP="002B61E9">
    <w:pPr>
      <w:pStyle w:val="Header"/>
      <w:rPr>
        <w:rFonts w:asciiTheme="majorHAnsi" w:hAnsiTheme="majorHAnsi"/>
      </w:rPr>
    </w:pPr>
  </w:p>
  <w:p w14:paraId="51864E5A" w14:textId="77777777" w:rsidR="00D12403" w:rsidRDefault="00D124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916CB" w14:textId="37B8662A" w:rsidR="001914A7" w:rsidRDefault="00F84C18">
    <w:pPr>
      <w:pStyle w:val="Header"/>
    </w:pPr>
    <w:r w:rsidRPr="00226E6C">
      <w:rPr>
        <w:rFonts w:ascii="Calibri" w:hAnsi="Calibri"/>
        <w:noProof/>
        <w:color w:val="0C2340"/>
      </w:rPr>
      <w:drawing>
        <wp:anchor distT="0" distB="0" distL="114300" distR="114300" simplePos="0" relativeHeight="251658240" behindDoc="1" locked="1" layoutInCell="1" allowOverlap="1" wp14:anchorId="54249CBE" wp14:editId="0F1A5D3C">
          <wp:simplePos x="0" y="0"/>
          <wp:positionH relativeFrom="page">
            <wp:posOffset>4220210</wp:posOffset>
          </wp:positionH>
          <wp:positionV relativeFrom="page">
            <wp:posOffset>110490</wp:posOffset>
          </wp:positionV>
          <wp:extent cx="3886200" cy="2286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HeaderUpperRight.png"/>
                  <pic:cNvPicPr/>
                </pic:nvPicPr>
                <pic:blipFill>
                  <a:blip r:embed="rId1">
                    <a:extLst>
                      <a:ext uri="{28A0092B-C50C-407E-A947-70E740481C1C}">
                        <a14:useLocalDpi xmlns:a14="http://schemas.microsoft.com/office/drawing/2010/main" val="0"/>
                      </a:ext>
                    </a:extLst>
                  </a:blip>
                  <a:stretch>
                    <a:fillRect/>
                  </a:stretch>
                </pic:blipFill>
                <pic:spPr>
                  <a:xfrm>
                    <a:off x="0" y="0"/>
                    <a:ext cx="3886200" cy="2286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E6169D" w:rsidRPr="00397223">
      <w:rPr>
        <w:rFonts w:ascii="Calibri" w:hAnsi="Calibri"/>
        <w:b/>
        <w:noProof/>
        <w:color w:val="0C2340"/>
      </w:rPr>
      <w:drawing>
        <wp:anchor distT="0" distB="0" distL="114300" distR="114300" simplePos="0" relativeHeight="251656192" behindDoc="1" locked="1" layoutInCell="1" allowOverlap="1" wp14:anchorId="1B0FEA60" wp14:editId="0177921B">
          <wp:simplePos x="0" y="0"/>
          <wp:positionH relativeFrom="page">
            <wp:posOffset>1270</wp:posOffset>
          </wp:positionH>
          <wp:positionV relativeFrom="page">
            <wp:posOffset>-17145</wp:posOffset>
          </wp:positionV>
          <wp:extent cx="3886200" cy="2286000"/>
          <wp:effectExtent l="0" t="0" r="0" b="0"/>
          <wp:wrapNone/>
          <wp:docPr id="1" name="Picture 1" title="Minnesota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eaderUpperLeft.png"/>
                  <pic:cNvPicPr/>
                </pic:nvPicPr>
                <pic:blipFill>
                  <a:blip r:embed="rId2">
                    <a:extLst>
                      <a:ext uri="{28A0092B-C50C-407E-A947-70E740481C1C}">
                        <a14:useLocalDpi xmlns:a14="http://schemas.microsoft.com/office/drawing/2010/main" val="0"/>
                      </a:ext>
                    </a:extLst>
                  </a:blip>
                  <a:stretch>
                    <a:fillRect/>
                  </a:stretch>
                </pic:blipFill>
                <pic:spPr>
                  <a:xfrm>
                    <a:off x="0" y="0"/>
                    <a:ext cx="3886200" cy="22860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5067"/>
    <w:multiLevelType w:val="hybridMultilevel"/>
    <w:tmpl w:val="A09E5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B7694"/>
    <w:multiLevelType w:val="hybridMultilevel"/>
    <w:tmpl w:val="953E0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6A67C9"/>
    <w:multiLevelType w:val="hybridMultilevel"/>
    <w:tmpl w:val="9244C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809D4"/>
    <w:multiLevelType w:val="hybridMultilevel"/>
    <w:tmpl w:val="566E4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B034B9"/>
    <w:multiLevelType w:val="hybridMultilevel"/>
    <w:tmpl w:val="A4922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3611BAF"/>
    <w:multiLevelType w:val="hybridMultilevel"/>
    <w:tmpl w:val="DFB25A00"/>
    <w:lvl w:ilvl="0" w:tplc="159AFD2A">
      <w:start w:val="1"/>
      <w:numFmt w:val="bullet"/>
      <w:lvlText w:val=""/>
      <w:lvlJc w:val="left"/>
      <w:pPr>
        <w:ind w:left="864"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A4AA3"/>
    <w:multiLevelType w:val="hybridMultilevel"/>
    <w:tmpl w:val="0DFA9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4E3F41"/>
    <w:multiLevelType w:val="hybridMultilevel"/>
    <w:tmpl w:val="A9F6B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0D5FE6"/>
    <w:multiLevelType w:val="hybridMultilevel"/>
    <w:tmpl w:val="92B0D8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4"/>
  </w:num>
  <w:num w:numId="4">
    <w:abstractNumId w:val="2"/>
  </w:num>
  <w:num w:numId="5">
    <w:abstractNumId w:val="6"/>
  </w:num>
  <w:num w:numId="6">
    <w:abstractNumId w:val="3"/>
  </w:num>
  <w:num w:numId="7">
    <w:abstractNumId w:val="0"/>
  </w:num>
  <w:num w:numId="8">
    <w:abstractNumId w:val="8"/>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5C2"/>
    <w:rsid w:val="00014643"/>
    <w:rsid w:val="000173BE"/>
    <w:rsid w:val="00035030"/>
    <w:rsid w:val="0004627E"/>
    <w:rsid w:val="00055A4E"/>
    <w:rsid w:val="0006382E"/>
    <w:rsid w:val="00065163"/>
    <w:rsid w:val="00065BEA"/>
    <w:rsid w:val="00066AF9"/>
    <w:rsid w:val="0007355D"/>
    <w:rsid w:val="0009522D"/>
    <w:rsid w:val="000965C2"/>
    <w:rsid w:val="000A5F13"/>
    <w:rsid w:val="000D19F8"/>
    <w:rsid w:val="000D547A"/>
    <w:rsid w:val="000E5965"/>
    <w:rsid w:val="000E5E29"/>
    <w:rsid w:val="000E71BB"/>
    <w:rsid w:val="001011F7"/>
    <w:rsid w:val="00110D47"/>
    <w:rsid w:val="00160CEC"/>
    <w:rsid w:val="001914A7"/>
    <w:rsid w:val="00193754"/>
    <w:rsid w:val="001960A2"/>
    <w:rsid w:val="001B3CC7"/>
    <w:rsid w:val="001F2B9E"/>
    <w:rsid w:val="001F348F"/>
    <w:rsid w:val="001F3E18"/>
    <w:rsid w:val="001F545B"/>
    <w:rsid w:val="0020117D"/>
    <w:rsid w:val="0020671C"/>
    <w:rsid w:val="002074C2"/>
    <w:rsid w:val="002077A3"/>
    <w:rsid w:val="00226E6C"/>
    <w:rsid w:val="0023156D"/>
    <w:rsid w:val="00232E30"/>
    <w:rsid w:val="00250BEF"/>
    <w:rsid w:val="00265B3E"/>
    <w:rsid w:val="00273F48"/>
    <w:rsid w:val="002A4714"/>
    <w:rsid w:val="002B61E9"/>
    <w:rsid w:val="002C180E"/>
    <w:rsid w:val="002C29DD"/>
    <w:rsid w:val="002C63E8"/>
    <w:rsid w:val="002D4072"/>
    <w:rsid w:val="002D5431"/>
    <w:rsid w:val="002F5866"/>
    <w:rsid w:val="00327627"/>
    <w:rsid w:val="00336042"/>
    <w:rsid w:val="0034514F"/>
    <w:rsid w:val="0034735D"/>
    <w:rsid w:val="003546C8"/>
    <w:rsid w:val="00361E91"/>
    <w:rsid w:val="00377261"/>
    <w:rsid w:val="003803B6"/>
    <w:rsid w:val="00397223"/>
    <w:rsid w:val="003A17D2"/>
    <w:rsid w:val="003A5586"/>
    <w:rsid w:val="003C0C97"/>
    <w:rsid w:val="003C3426"/>
    <w:rsid w:val="004205FC"/>
    <w:rsid w:val="004206DB"/>
    <w:rsid w:val="0044296B"/>
    <w:rsid w:val="004470ED"/>
    <w:rsid w:val="00453B8D"/>
    <w:rsid w:val="004606F0"/>
    <w:rsid w:val="00472DC3"/>
    <w:rsid w:val="00477639"/>
    <w:rsid w:val="0048679B"/>
    <w:rsid w:val="004C16FA"/>
    <w:rsid w:val="004E7CE2"/>
    <w:rsid w:val="004F1079"/>
    <w:rsid w:val="0050417F"/>
    <w:rsid w:val="00515BEB"/>
    <w:rsid w:val="00517332"/>
    <w:rsid w:val="00520379"/>
    <w:rsid w:val="0052159C"/>
    <w:rsid w:val="005457B2"/>
    <w:rsid w:val="00546F54"/>
    <w:rsid w:val="005672CC"/>
    <w:rsid w:val="00571A68"/>
    <w:rsid w:val="005C5DD2"/>
    <w:rsid w:val="005D1417"/>
    <w:rsid w:val="005D1672"/>
    <w:rsid w:val="005D6E1F"/>
    <w:rsid w:val="005F4437"/>
    <w:rsid w:val="005F6E95"/>
    <w:rsid w:val="00613400"/>
    <w:rsid w:val="00616E29"/>
    <w:rsid w:val="00623061"/>
    <w:rsid w:val="00662304"/>
    <w:rsid w:val="00680D95"/>
    <w:rsid w:val="006830E9"/>
    <w:rsid w:val="00690224"/>
    <w:rsid w:val="00692DDF"/>
    <w:rsid w:val="006C2845"/>
    <w:rsid w:val="006C512A"/>
    <w:rsid w:val="006D2B1B"/>
    <w:rsid w:val="006E730E"/>
    <w:rsid w:val="0070439F"/>
    <w:rsid w:val="00713FE8"/>
    <w:rsid w:val="007322C1"/>
    <w:rsid w:val="0076549C"/>
    <w:rsid w:val="007918CD"/>
    <w:rsid w:val="00795DE5"/>
    <w:rsid w:val="007A3A6D"/>
    <w:rsid w:val="007B2B9B"/>
    <w:rsid w:val="007B4356"/>
    <w:rsid w:val="007B7E31"/>
    <w:rsid w:val="007C7DFA"/>
    <w:rsid w:val="007D7B25"/>
    <w:rsid w:val="0080086E"/>
    <w:rsid w:val="008012BC"/>
    <w:rsid w:val="00814181"/>
    <w:rsid w:val="00841F8A"/>
    <w:rsid w:val="00863814"/>
    <w:rsid w:val="008741A4"/>
    <w:rsid w:val="00891026"/>
    <w:rsid w:val="00891EA8"/>
    <w:rsid w:val="00891FF9"/>
    <w:rsid w:val="00892F0A"/>
    <w:rsid w:val="008B7E30"/>
    <w:rsid w:val="008C2DD3"/>
    <w:rsid w:val="008E10AB"/>
    <w:rsid w:val="00904F34"/>
    <w:rsid w:val="00914036"/>
    <w:rsid w:val="00924144"/>
    <w:rsid w:val="00934AD6"/>
    <w:rsid w:val="00942ED9"/>
    <w:rsid w:val="00956F0B"/>
    <w:rsid w:val="00977A2E"/>
    <w:rsid w:val="00992444"/>
    <w:rsid w:val="009A230F"/>
    <w:rsid w:val="009C0C6A"/>
    <w:rsid w:val="009D025F"/>
    <w:rsid w:val="009D0B70"/>
    <w:rsid w:val="009D7D1F"/>
    <w:rsid w:val="009E2765"/>
    <w:rsid w:val="00A2750F"/>
    <w:rsid w:val="00A90BE1"/>
    <w:rsid w:val="00A93546"/>
    <w:rsid w:val="00AB4509"/>
    <w:rsid w:val="00AD7E10"/>
    <w:rsid w:val="00AF5552"/>
    <w:rsid w:val="00AF677A"/>
    <w:rsid w:val="00B23973"/>
    <w:rsid w:val="00B6283A"/>
    <w:rsid w:val="00B729EB"/>
    <w:rsid w:val="00BE085F"/>
    <w:rsid w:val="00BE538D"/>
    <w:rsid w:val="00BE5768"/>
    <w:rsid w:val="00BF22AF"/>
    <w:rsid w:val="00BF429C"/>
    <w:rsid w:val="00C11197"/>
    <w:rsid w:val="00C12960"/>
    <w:rsid w:val="00C150AD"/>
    <w:rsid w:val="00C20938"/>
    <w:rsid w:val="00C23373"/>
    <w:rsid w:val="00C53E2B"/>
    <w:rsid w:val="00C65174"/>
    <w:rsid w:val="00CA2D42"/>
    <w:rsid w:val="00CC06D3"/>
    <w:rsid w:val="00CC7D7F"/>
    <w:rsid w:val="00CD5434"/>
    <w:rsid w:val="00D12403"/>
    <w:rsid w:val="00D4477E"/>
    <w:rsid w:val="00D467A8"/>
    <w:rsid w:val="00D6253B"/>
    <w:rsid w:val="00D80ED1"/>
    <w:rsid w:val="00DD2056"/>
    <w:rsid w:val="00DF6717"/>
    <w:rsid w:val="00E03AD5"/>
    <w:rsid w:val="00E310F9"/>
    <w:rsid w:val="00E6169D"/>
    <w:rsid w:val="00E87C10"/>
    <w:rsid w:val="00EC3AF2"/>
    <w:rsid w:val="00F50315"/>
    <w:rsid w:val="00F603B5"/>
    <w:rsid w:val="00F84C18"/>
    <w:rsid w:val="00FA43DA"/>
    <w:rsid w:val="00FA4AB7"/>
    <w:rsid w:val="00FC59CE"/>
    <w:rsid w:val="00FD3BB9"/>
    <w:rsid w:val="00FF006D"/>
    <w:rsid w:val="00FF640E"/>
    <w:rsid w:val="00FF7E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766FF4"/>
  <w14:defaultImageDpi w14:val="300"/>
  <w15:docId w15:val="{1B8C47CF-A419-4ADF-BF7D-56244A6A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19F8"/>
    <w:pPr>
      <w:tabs>
        <w:tab w:val="center" w:pos="4320"/>
        <w:tab w:val="right" w:pos="8640"/>
      </w:tabs>
    </w:pPr>
  </w:style>
  <w:style w:type="character" w:customStyle="1" w:styleId="HeaderChar">
    <w:name w:val="Header Char"/>
    <w:basedOn w:val="DefaultParagraphFont"/>
    <w:link w:val="Header"/>
    <w:uiPriority w:val="99"/>
    <w:rsid w:val="000D19F8"/>
  </w:style>
  <w:style w:type="paragraph" w:styleId="Footer">
    <w:name w:val="footer"/>
    <w:basedOn w:val="Normal"/>
    <w:link w:val="FooterChar"/>
    <w:uiPriority w:val="99"/>
    <w:unhideWhenUsed/>
    <w:rsid w:val="000D19F8"/>
    <w:pPr>
      <w:tabs>
        <w:tab w:val="center" w:pos="4320"/>
        <w:tab w:val="right" w:pos="8640"/>
      </w:tabs>
    </w:pPr>
  </w:style>
  <w:style w:type="character" w:customStyle="1" w:styleId="FooterChar">
    <w:name w:val="Footer Char"/>
    <w:basedOn w:val="DefaultParagraphFont"/>
    <w:link w:val="Footer"/>
    <w:uiPriority w:val="99"/>
    <w:rsid w:val="000D19F8"/>
  </w:style>
  <w:style w:type="paragraph" w:styleId="BalloonText">
    <w:name w:val="Balloon Text"/>
    <w:basedOn w:val="Normal"/>
    <w:link w:val="BalloonTextChar"/>
    <w:uiPriority w:val="99"/>
    <w:semiHidden/>
    <w:unhideWhenUsed/>
    <w:rsid w:val="000D19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19F8"/>
    <w:rPr>
      <w:rFonts w:ascii="Lucida Grande" w:hAnsi="Lucida Grande" w:cs="Lucida Grande"/>
      <w:sz w:val="18"/>
      <w:szCs w:val="18"/>
    </w:rPr>
  </w:style>
  <w:style w:type="paragraph" w:styleId="ListParagraph">
    <w:name w:val="List Paragraph"/>
    <w:basedOn w:val="Normal"/>
    <w:uiPriority w:val="34"/>
    <w:qFormat/>
    <w:rsid w:val="00397223"/>
    <w:pPr>
      <w:ind w:left="720"/>
      <w:contextualSpacing/>
    </w:pPr>
  </w:style>
  <w:style w:type="paragraph" w:customStyle="1" w:styleId="MSHEADING">
    <w:name w:val="MS HEADING"/>
    <w:basedOn w:val="Normal"/>
    <w:qFormat/>
    <w:rsid w:val="00D12403"/>
    <w:rPr>
      <w:rFonts w:ascii="Calibri" w:hAnsi="Calibri" w:cs="Times New Roman"/>
      <w:b/>
      <w:sz w:val="28"/>
      <w:szCs w:val="28"/>
    </w:rPr>
  </w:style>
  <w:style w:type="paragraph" w:customStyle="1" w:styleId="MSBODYCOPY">
    <w:name w:val="MS BODY COPY"/>
    <w:basedOn w:val="Normal"/>
    <w:qFormat/>
    <w:rsid w:val="00D12403"/>
    <w:rPr>
      <w:rFonts w:ascii="Calibri" w:hAnsi="Calibri" w:cs="Times New Roman"/>
    </w:rPr>
  </w:style>
  <w:style w:type="character" w:styleId="Hyperlink">
    <w:name w:val="Hyperlink"/>
    <w:basedOn w:val="DefaultParagraphFont"/>
    <w:uiPriority w:val="99"/>
    <w:unhideWhenUsed/>
    <w:rsid w:val="000965C2"/>
    <w:rPr>
      <w:color w:val="0000FF" w:themeColor="hyperlink"/>
      <w:u w:val="single"/>
    </w:rPr>
  </w:style>
  <w:style w:type="character" w:styleId="FollowedHyperlink">
    <w:name w:val="FollowedHyperlink"/>
    <w:basedOn w:val="DefaultParagraphFont"/>
    <w:uiPriority w:val="99"/>
    <w:semiHidden/>
    <w:unhideWhenUsed/>
    <w:rsid w:val="007D7B25"/>
    <w:rPr>
      <w:color w:val="800080" w:themeColor="followedHyperlink"/>
      <w:u w:val="single"/>
    </w:rPr>
  </w:style>
  <w:style w:type="character" w:styleId="CommentReference">
    <w:name w:val="annotation reference"/>
    <w:basedOn w:val="DefaultParagraphFont"/>
    <w:uiPriority w:val="99"/>
    <w:semiHidden/>
    <w:unhideWhenUsed/>
    <w:rsid w:val="004E7CE2"/>
    <w:rPr>
      <w:sz w:val="16"/>
      <w:szCs w:val="16"/>
    </w:rPr>
  </w:style>
  <w:style w:type="paragraph" w:styleId="CommentText">
    <w:name w:val="annotation text"/>
    <w:basedOn w:val="Normal"/>
    <w:link w:val="CommentTextChar"/>
    <w:uiPriority w:val="99"/>
    <w:semiHidden/>
    <w:unhideWhenUsed/>
    <w:rsid w:val="004E7CE2"/>
    <w:rPr>
      <w:sz w:val="20"/>
      <w:szCs w:val="20"/>
    </w:rPr>
  </w:style>
  <w:style w:type="character" w:customStyle="1" w:styleId="CommentTextChar">
    <w:name w:val="Comment Text Char"/>
    <w:basedOn w:val="DefaultParagraphFont"/>
    <w:link w:val="CommentText"/>
    <w:uiPriority w:val="99"/>
    <w:semiHidden/>
    <w:rsid w:val="004E7CE2"/>
    <w:rPr>
      <w:sz w:val="20"/>
      <w:szCs w:val="20"/>
    </w:rPr>
  </w:style>
  <w:style w:type="paragraph" w:styleId="CommentSubject">
    <w:name w:val="annotation subject"/>
    <w:basedOn w:val="CommentText"/>
    <w:next w:val="CommentText"/>
    <w:link w:val="CommentSubjectChar"/>
    <w:uiPriority w:val="99"/>
    <w:semiHidden/>
    <w:unhideWhenUsed/>
    <w:rsid w:val="004E7CE2"/>
    <w:rPr>
      <w:b/>
      <w:bCs/>
    </w:rPr>
  </w:style>
  <w:style w:type="character" w:customStyle="1" w:styleId="CommentSubjectChar">
    <w:name w:val="Comment Subject Char"/>
    <w:basedOn w:val="CommentTextChar"/>
    <w:link w:val="CommentSubject"/>
    <w:uiPriority w:val="99"/>
    <w:semiHidden/>
    <w:rsid w:val="004E7C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039362">
      <w:bodyDiv w:val="1"/>
      <w:marLeft w:val="0"/>
      <w:marRight w:val="0"/>
      <w:marTop w:val="0"/>
      <w:marBottom w:val="0"/>
      <w:divBdr>
        <w:top w:val="none" w:sz="0" w:space="0" w:color="auto"/>
        <w:left w:val="none" w:sz="0" w:space="0" w:color="auto"/>
        <w:bottom w:val="none" w:sz="0" w:space="0" w:color="auto"/>
        <w:right w:val="none" w:sz="0" w:space="0" w:color="auto"/>
      </w:divBdr>
    </w:div>
    <w:div w:id="1477844682">
      <w:bodyDiv w:val="1"/>
      <w:marLeft w:val="0"/>
      <w:marRight w:val="0"/>
      <w:marTop w:val="0"/>
      <w:marBottom w:val="0"/>
      <w:divBdr>
        <w:top w:val="none" w:sz="0" w:space="0" w:color="auto"/>
        <w:left w:val="none" w:sz="0" w:space="0" w:color="auto"/>
        <w:bottom w:val="none" w:sz="0" w:space="0" w:color="auto"/>
        <w:right w:val="none" w:sz="0" w:space="0" w:color="auto"/>
      </w:divBdr>
    </w:div>
    <w:div w:id="1483816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innesota State Brand Colors">
      <a:dk1>
        <a:sysClr val="windowText" lastClr="000000"/>
      </a:dk1>
      <a:lt1>
        <a:sysClr val="window" lastClr="FFFFFF"/>
      </a:lt1>
      <a:dk2>
        <a:srgbClr val="0C2340"/>
      </a:dk2>
      <a:lt2>
        <a:srgbClr val="009F4D"/>
      </a:lt2>
      <a:accent1>
        <a:srgbClr val="ACA39A"/>
      </a:accent1>
      <a:accent2>
        <a:srgbClr val="009CDE"/>
      </a:accent2>
      <a:accent3>
        <a:srgbClr val="582C83"/>
      </a:accent3>
      <a:accent4>
        <a:srgbClr val="CE0058"/>
      </a:accent4>
      <a:accent5>
        <a:srgbClr val="FF671F"/>
      </a:accent5>
      <a:accent6>
        <a:srgbClr val="FFFFFF"/>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DAB4F8B701D340B4CBB4F399D92B9D" ma:contentTypeVersion="13" ma:contentTypeDescription="Create a new document." ma:contentTypeScope="" ma:versionID="80ca90b75a8be670de6affcc9ee155f6">
  <xsd:schema xmlns:xsd="http://www.w3.org/2001/XMLSchema" xmlns:xs="http://www.w3.org/2001/XMLSchema" xmlns:p="http://schemas.microsoft.com/office/2006/metadata/properties" xmlns:ns3="10b4ca38-eed1-46dc-8a04-fce7b4456f59" xmlns:ns4="1c1dca76-276d-419d-a852-8dc54d1fba0f" targetNamespace="http://schemas.microsoft.com/office/2006/metadata/properties" ma:root="true" ma:fieldsID="8661fbacd0c844c4ac926f4295003536" ns3:_="" ns4:_="">
    <xsd:import namespace="10b4ca38-eed1-46dc-8a04-fce7b4456f59"/>
    <xsd:import namespace="1c1dca76-276d-419d-a852-8dc54d1fba0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4ca38-eed1-46dc-8a04-fce7b4456f5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1dca76-276d-419d-a852-8dc54d1fba0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0BE7F-EC78-49D9-BBE8-7751D9E295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B35D2E-ED01-4376-9CB5-A0F76854F743}">
  <ds:schemaRefs>
    <ds:schemaRef ds:uri="http://schemas.microsoft.com/sharepoint/v3/contenttype/forms"/>
  </ds:schemaRefs>
</ds:datastoreItem>
</file>

<file path=customXml/itemProps3.xml><?xml version="1.0" encoding="utf-8"?>
<ds:datastoreItem xmlns:ds="http://schemas.openxmlformats.org/officeDocument/2006/customXml" ds:itemID="{FFE6FDA0-CCF4-4E85-A4B9-5A095626B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4ca38-eed1-46dc-8a04-fce7b4456f59"/>
    <ds:schemaRef ds:uri="1c1dca76-276d-419d-a852-8dc54d1fb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8E0558-50B6-4602-AF1B-7EE9F5865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1560</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PadillaCRT</Company>
  <LinksUpToDate>false</LinksUpToDate>
  <CharactersWithSpaces>10432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Pilugin</dc:creator>
  <cp:keywords/>
  <dc:description/>
  <cp:lastModifiedBy>Feedback</cp:lastModifiedBy>
  <cp:revision>2</cp:revision>
  <cp:lastPrinted>2020-04-07T19:37:00Z</cp:lastPrinted>
  <dcterms:created xsi:type="dcterms:W3CDTF">2020-04-08T19:37:00Z</dcterms:created>
  <dcterms:modified xsi:type="dcterms:W3CDTF">2020-04-08T19:37:00Z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0x01010048DAB4F8B701D340B4CBB4F399D92B9D</vt:lpwstr>
  </property>
  <property fmtid="{D5CDD505-2E9C-101B-9397-08002B2CF9AE}" pid="3" name="TaxKeyword">
    <vt:lpwstr/>
  </property>
  <property fmtid="{D5CDD505-2E9C-101B-9397-08002B2CF9AE}" pid="4" name="Division">
    <vt:lpwstr>3;#Advancement|d7809cf3-7ceb-465e-92ea-59cbc20ee0a1</vt:lpwstr>
  </property>
  <property fmtid="{D5CDD505-2E9C-101B-9397-08002B2CF9AE}" pid="5" name="Unit">
    <vt:lpwstr>6;#Communications|9c0f9c96-c80b-487b-ba5f-a0d3f6db2610</vt:lpwstr>
  </property>
</Properties>
</file>