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rFonts w:ascii="Calibri" w:eastAsia="Times New Roman" w:hAnsi="Calibri"/>
          <w:sz w:val="22"/>
          <w:szCs w:val="20"/>
          <w:lang w:bidi="en-US"/>
        </w:rPr>
      </w:sdtEndPr>
      <w:sdtContent>
        <w:p w:rsidR="002552EB" w:rsidRDefault="002552EB" w:rsidP="002552EB">
          <w:pPr>
            <w:pStyle w:val="NormalWeb"/>
            <w:spacing w:before="0" w:beforeAutospacing="0" w:after="0" w:afterAutospacing="0"/>
          </w:pPr>
          <w:r>
            <w:rPr>
              <w:rFonts w:ascii="Georgia" w:hAnsi="Georgia"/>
            </w:rPr>
            <w:t>Colleagues,</w:t>
          </w:r>
        </w:p>
        <w:p w:rsidR="002552EB" w:rsidRDefault="002552EB" w:rsidP="002552EB">
          <w:pPr>
            <w:pStyle w:val="NormalWeb"/>
            <w:spacing w:before="0" w:beforeAutospacing="0" w:after="0" w:afterAutospacing="0"/>
          </w:pPr>
          <w:r>
            <w:rPr>
              <w:rFonts w:ascii="Georgia" w:hAnsi="Georgia"/>
            </w:rPr>
            <w:t> </w:t>
          </w:r>
        </w:p>
        <w:p w:rsidR="002552EB" w:rsidRDefault="002552EB" w:rsidP="002552EB">
          <w:pPr>
            <w:pStyle w:val="NormalWeb"/>
            <w:spacing w:before="0" w:beforeAutospacing="0" w:after="0" w:afterAutospacing="0"/>
          </w:pPr>
          <w:r>
            <w:rPr>
              <w:rFonts w:ascii="Georgia" w:hAnsi="Georgia"/>
            </w:rPr>
            <w:t xml:space="preserve">Please consider sharing, as appropriate, the information below with your AEFLA grantees. </w:t>
          </w:r>
        </w:p>
        <w:p w:rsidR="002552EB" w:rsidRDefault="002552EB" w:rsidP="002552EB">
          <w:pPr>
            <w:pStyle w:val="NormalWeb"/>
            <w:spacing w:before="0" w:beforeAutospacing="0" w:after="0" w:afterAutospacing="0"/>
          </w:pPr>
          <w:r>
            <w:rPr>
              <w:rFonts w:ascii="Georgia" w:hAnsi="Georgia"/>
            </w:rPr>
            <w:t> </w:t>
          </w:r>
        </w:p>
        <w:p w:rsidR="002552EB" w:rsidRDefault="002552EB" w:rsidP="002552EB">
          <w:pPr>
            <w:pStyle w:val="NormalWeb"/>
            <w:spacing w:before="0" w:beforeAutospacing="0" w:after="0" w:afterAutospacing="0"/>
          </w:pPr>
          <w:bookmarkStart w:id="0" w:name="_GoBack"/>
          <w:r>
            <w:rPr>
              <w:rFonts w:ascii="Georgia" w:hAnsi="Georgia"/>
            </w:rPr>
            <w:t xml:space="preserve">U.S. Citizenship and Immigration Services </w:t>
          </w:r>
          <w:bookmarkEnd w:id="0"/>
          <w:r>
            <w:rPr>
              <w:rFonts w:ascii="Georgia" w:hAnsi="Georgia"/>
            </w:rPr>
            <w:t xml:space="preserve">is accepting applications for two funding opportunities under </w:t>
          </w:r>
          <w:r>
            <w:rPr>
              <w:rFonts w:ascii="Georgia" w:hAnsi="Georgia"/>
              <w:color w:val="000000"/>
            </w:rPr>
            <w:t xml:space="preserve">the Citizenship and Assimilation Grant Program. </w:t>
          </w:r>
          <w:r>
            <w:rPr>
              <w:rFonts w:ascii="Georgia" w:hAnsi="Georgia"/>
            </w:rPr>
            <w:t xml:space="preserve">The grant opportunities, mandated by Congress and funded with appropriations rather than the agency’s operating funds, </w:t>
          </w:r>
          <w:r>
            <w:rPr>
              <w:rFonts w:ascii="Georgia" w:hAnsi="Georgia"/>
              <w:color w:val="000000"/>
            </w:rPr>
            <w:t xml:space="preserve">will provide up to $10 million in grants for citizenship preparation programs in communities across the country.  </w:t>
          </w:r>
          <w:r>
            <w:rPr>
              <w:rFonts w:ascii="Georgia" w:hAnsi="Georgia"/>
            </w:rPr>
            <w:t>  </w:t>
          </w:r>
        </w:p>
        <w:p w:rsidR="002552EB" w:rsidRDefault="002552EB" w:rsidP="002552EB">
          <w:pPr>
            <w:pStyle w:val="NormalWeb"/>
            <w:spacing w:before="0" w:beforeAutospacing="0" w:after="0" w:afterAutospacing="0"/>
          </w:pPr>
          <w:r>
            <w:rPr>
              <w:rFonts w:ascii="Georgia" w:hAnsi="Georgia"/>
              <w:color w:val="000000"/>
            </w:rPr>
            <w:t> </w:t>
          </w:r>
        </w:p>
        <w:p w:rsidR="002552EB" w:rsidRDefault="002552EB" w:rsidP="002552EB">
          <w:pPr>
            <w:pStyle w:val="NormalWeb"/>
            <w:spacing w:before="0" w:beforeAutospacing="0" w:after="0" w:afterAutospacing="0"/>
          </w:pPr>
          <w:r>
            <w:rPr>
              <w:rFonts w:ascii="Georgia" w:hAnsi="Georgia"/>
              <w:color w:val="000000"/>
            </w:rPr>
            <w:t xml:space="preserve">These </w:t>
          </w:r>
          <w:r>
            <w:rPr>
              <w:rFonts w:ascii="Georgia" w:hAnsi="Georgia"/>
            </w:rPr>
            <w:t xml:space="preserve">competitive grant opportunities are open to organizations that prepare lawful permanent residents for naturalization and promote civic assimilation through increased knowledge of English, U.S. history and civics. </w:t>
          </w:r>
        </w:p>
        <w:p w:rsidR="002552EB" w:rsidRDefault="002552EB" w:rsidP="002552EB">
          <w:pPr>
            <w:pStyle w:val="NormalWeb"/>
            <w:spacing w:before="0" w:beforeAutospacing="0" w:after="0" w:afterAutospacing="0"/>
          </w:pPr>
          <w:r>
            <w:rPr>
              <w:rFonts w:ascii="Georgia" w:hAnsi="Georgia"/>
            </w:rPr>
            <w:t> </w:t>
          </w:r>
        </w:p>
        <w:p w:rsidR="002552EB" w:rsidRDefault="002552EB" w:rsidP="002552EB">
          <w:pPr>
            <w:pStyle w:val="NormalWeb"/>
            <w:spacing w:before="0" w:beforeAutospacing="0" w:after="0" w:afterAutospacing="0"/>
          </w:pPr>
          <w:r>
            <w:rPr>
              <w:rFonts w:ascii="Georgia" w:hAnsi="Georgia"/>
            </w:rPr>
            <w:t>USCIS expects to announce award recipients in September 2020, if agency staff are available to review applications and oversee the program. However, should agency staff be furloughed in late August, USCIS anticipates that the grant program could be impacted or even terminated for the fiscal year.</w:t>
          </w:r>
        </w:p>
        <w:p w:rsidR="002552EB" w:rsidRDefault="002552EB" w:rsidP="002552EB">
          <w:pPr>
            <w:pStyle w:val="NormalWeb"/>
            <w:spacing w:before="0" w:beforeAutospacing="0" w:after="0" w:afterAutospacing="0"/>
          </w:pPr>
          <w:r>
            <w:rPr>
              <w:rFonts w:ascii="Georgia" w:hAnsi="Georgia"/>
            </w:rPr>
            <w:t> </w:t>
          </w:r>
        </w:p>
        <w:p w:rsidR="002552EB" w:rsidRDefault="002552EB" w:rsidP="002552EB">
          <w:pPr>
            <w:pStyle w:val="NormalWeb"/>
            <w:spacing w:before="0" w:beforeAutospacing="0" w:after="240" w:afterAutospacing="0"/>
          </w:pPr>
          <w:r>
            <w:rPr>
              <w:rFonts w:ascii="Georgia" w:hAnsi="Georgia"/>
            </w:rPr>
            <w:t>USCIS seeks to expand availability of high-quality citizenship and assimilation services throughout the country with these two grant opportunities:</w:t>
          </w:r>
        </w:p>
        <w:p w:rsidR="002552EB" w:rsidRDefault="002552EB" w:rsidP="002552EB">
          <w:pPr>
            <w:numPr>
              <w:ilvl w:val="0"/>
              <w:numId w:val="36"/>
            </w:numPr>
            <w:spacing w:before="0" w:after="240" w:line="240" w:lineRule="auto"/>
            <w:rPr>
              <w:color w:val="000000"/>
            </w:rPr>
          </w:pPr>
          <w:hyperlink r:id="rId11" w:history="1">
            <w:r>
              <w:rPr>
                <w:rStyle w:val="Hyperlink"/>
                <w:rFonts w:ascii="Georgia" w:hAnsi="Georgia"/>
                <w:b/>
                <w:bCs/>
              </w:rPr>
              <w:t>Citizenship Instruction and Naturalization Application Services</w:t>
            </w:r>
          </w:hyperlink>
          <w:r>
            <w:rPr>
              <w:rStyle w:val="Strong"/>
              <w:rFonts w:ascii="Georgia" w:hAnsi="Georgia"/>
              <w:color w:val="000000"/>
            </w:rPr>
            <w:t>.</w:t>
          </w:r>
          <w:r>
            <w:rPr>
              <w:rFonts w:ascii="Georgia" w:hAnsi="Georgia"/>
              <w:color w:val="000000"/>
            </w:rPr>
            <w:t xml:space="preserve"> This grant opportunity will fund up to 33 organizations that offer both citizenship instruction and naturalization application services to lawful permanent residents. Applications are due by Aug. 31.  </w:t>
          </w:r>
        </w:p>
        <w:p w:rsidR="002552EB" w:rsidRDefault="002552EB" w:rsidP="002552EB">
          <w:pPr>
            <w:numPr>
              <w:ilvl w:val="0"/>
              <w:numId w:val="36"/>
            </w:numPr>
            <w:spacing w:before="0" w:after="0" w:line="240" w:lineRule="auto"/>
            <w:rPr>
              <w:color w:val="000000"/>
            </w:rPr>
          </w:pPr>
          <w:hyperlink r:id="rId12" w:history="1">
            <w:r>
              <w:rPr>
                <w:rStyle w:val="Strong"/>
                <w:rFonts w:ascii="Georgia" w:hAnsi="Georgia"/>
                <w:color w:val="0000FF"/>
                <w:u w:val="single"/>
              </w:rPr>
              <w:t xml:space="preserve">The Refugee and </w:t>
            </w:r>
            <w:proofErr w:type="spellStart"/>
            <w:r>
              <w:rPr>
                <w:rStyle w:val="Strong"/>
                <w:rFonts w:ascii="Georgia" w:hAnsi="Georgia"/>
                <w:color w:val="0000FF"/>
                <w:u w:val="single"/>
              </w:rPr>
              <w:t>Asylee</w:t>
            </w:r>
            <w:proofErr w:type="spellEnd"/>
            <w:r>
              <w:rPr>
                <w:rStyle w:val="Strong"/>
                <w:rFonts w:ascii="Georgia" w:hAnsi="Georgia"/>
                <w:color w:val="0000FF"/>
                <w:u w:val="single"/>
              </w:rPr>
              <w:t xml:space="preserve"> Assimilation Program</w:t>
            </w:r>
          </w:hyperlink>
          <w:r>
            <w:rPr>
              <w:rFonts w:ascii="Georgia" w:hAnsi="Georgia"/>
              <w:color w:val="000000"/>
            </w:rPr>
            <w:t xml:space="preserve">. This grant opportunity will fund up to six organizations to provide individualized services to lawful permanent residents who entered the United States under the U.S. Refugee Admissions Program or were granted asylum. Applications are due by Aug. 31.  </w:t>
          </w:r>
        </w:p>
        <w:p w:rsidR="002552EB" w:rsidRDefault="002552EB" w:rsidP="002552EB">
          <w:pPr>
            <w:pStyle w:val="NormalWeb"/>
            <w:spacing w:before="0" w:beforeAutospacing="0" w:after="0" w:afterAutospacing="0"/>
          </w:pPr>
          <w:r>
            <w:t> </w:t>
          </w:r>
        </w:p>
        <w:p w:rsidR="002552EB" w:rsidRDefault="002552EB" w:rsidP="002552EB">
          <w:pPr>
            <w:pStyle w:val="NormalWeb"/>
            <w:spacing w:before="0" w:beforeAutospacing="0" w:after="0" w:afterAutospacing="0"/>
          </w:pPr>
          <w:r>
            <w:rPr>
              <w:rFonts w:ascii="Georgia" w:hAnsi="Georgia"/>
            </w:rPr>
            <w:t xml:space="preserve">USCIS will consider various program and organizational factors, including past grantee performance, when making final award decisions. In addition, all funded grant recipients must enroll in </w:t>
          </w:r>
          <w:hyperlink r:id="rId13" w:history="1">
            <w:r>
              <w:rPr>
                <w:rStyle w:val="Hyperlink"/>
                <w:rFonts w:ascii="Georgia" w:hAnsi="Georgia"/>
              </w:rPr>
              <w:t>E-Verify</w:t>
            </w:r>
          </w:hyperlink>
          <w:r>
            <w:rPr>
              <w:rFonts w:ascii="Georgia" w:hAnsi="Georgia"/>
            </w:rPr>
            <w:t xml:space="preserve"> as a regular employer within 30 days of receiving the award and remain as a participant in good standing with E-Verify throughout the entire period of grant performance. Funded grant recipients will be required to verify all new hires at hiring locations performing work on a program or activity that is funded in whole or in part under the grant.</w:t>
          </w:r>
          <w:r>
            <w:t xml:space="preserve"> </w:t>
          </w:r>
          <w:r>
            <w:rPr>
              <w:rFonts w:ascii="Georgia" w:hAnsi="Georgia"/>
            </w:rPr>
            <w:t xml:space="preserve">New to this year’s program is a prerequisite that applicants and sub-awardees certified under the Student and Exchange Visitor Program (SEVP) must comply with all SEVP requirements at the time of application. </w:t>
          </w:r>
        </w:p>
        <w:p w:rsidR="002552EB" w:rsidRDefault="002552EB" w:rsidP="002552EB">
          <w:pPr>
            <w:pStyle w:val="NormalWeb"/>
            <w:spacing w:before="0" w:beforeAutospacing="0" w:after="0" w:afterAutospacing="0"/>
          </w:pPr>
          <w:r>
            <w:rPr>
              <w:rFonts w:ascii="Georgia" w:hAnsi="Georgia"/>
            </w:rPr>
            <w:t> </w:t>
          </w:r>
        </w:p>
        <w:p w:rsidR="002552EB" w:rsidRDefault="002552EB" w:rsidP="002552EB">
          <w:pPr>
            <w:pStyle w:val="NormalWeb"/>
            <w:spacing w:before="0" w:beforeAutospacing="0" w:after="0" w:afterAutospacing="0"/>
          </w:pPr>
          <w:r>
            <w:rPr>
              <w:rFonts w:ascii="Georgia" w:hAnsi="Georgia"/>
            </w:rPr>
            <w:t>Since it began in 2009, the USCIS Citizenship and Assimilation Grant Program has awarded approximately $92 million through 434 grants to immigrant-serving organizations in 39 states and the District of Columbia. </w:t>
          </w:r>
          <w:r>
            <w:rPr>
              <w:rFonts w:ascii="Georgia" w:hAnsi="Georgia"/>
              <w:color w:val="000000"/>
            </w:rPr>
            <w:t xml:space="preserve"> </w:t>
          </w:r>
        </w:p>
        <w:p w:rsidR="002552EB" w:rsidRDefault="002552EB" w:rsidP="002552EB">
          <w:pPr>
            <w:pStyle w:val="NormalWeb"/>
            <w:spacing w:before="0" w:beforeAutospacing="0" w:after="0" w:afterAutospacing="0"/>
          </w:pPr>
          <w:r>
            <w:rPr>
              <w:rFonts w:ascii="Georgia" w:hAnsi="Georgia"/>
            </w:rPr>
            <w:t> </w:t>
          </w:r>
        </w:p>
        <w:p w:rsidR="002552EB" w:rsidRDefault="002552EB" w:rsidP="002552EB">
          <w:pPr>
            <w:pStyle w:val="NormalWeb"/>
            <w:spacing w:before="0" w:beforeAutospacing="0" w:after="0" w:afterAutospacing="0"/>
          </w:pPr>
          <w:r>
            <w:rPr>
              <w:rFonts w:ascii="Georgia" w:hAnsi="Georgia"/>
            </w:rPr>
            <w:lastRenderedPageBreak/>
            <w:t xml:space="preserve">To apply for one of these funding opportunities, visit </w:t>
          </w:r>
          <w:hyperlink r:id="rId14" w:history="1">
            <w:r>
              <w:rPr>
                <w:rStyle w:val="Hyperlink"/>
                <w:rFonts w:ascii="Georgia" w:hAnsi="Georgia"/>
              </w:rPr>
              <w:t>grants.gov</w:t>
            </w:r>
          </w:hyperlink>
          <w:r>
            <w:rPr>
              <w:rFonts w:ascii="Georgia" w:hAnsi="Georgia"/>
            </w:rPr>
            <w:t xml:space="preserve">. For additional information on the Citizenship and Assimilation Grant Program for fiscal year 2020, visit </w:t>
          </w:r>
          <w:hyperlink r:id="rId15" w:history="1">
            <w:r>
              <w:rPr>
                <w:rStyle w:val="Hyperlink"/>
                <w:rFonts w:ascii="Georgia" w:hAnsi="Georgia"/>
              </w:rPr>
              <w:t>uscis.gov/grants</w:t>
            </w:r>
          </w:hyperlink>
          <w:r>
            <w:rPr>
              <w:rFonts w:ascii="Georgia" w:hAnsi="Georgia"/>
            </w:rPr>
            <w:t xml:space="preserve"> or email the USCIS Office of Citizenship at </w:t>
          </w:r>
          <w:hyperlink r:id="rId16" w:history="1">
            <w:r>
              <w:rPr>
                <w:rStyle w:val="Hyperlink"/>
                <w:rFonts w:ascii="Georgia" w:hAnsi="Georgia"/>
              </w:rPr>
              <w:t>citizenshipgrantprogram@uscis.dhs.gov</w:t>
            </w:r>
          </w:hyperlink>
          <w:r>
            <w:rPr>
              <w:rFonts w:ascii="Georgia" w:hAnsi="Georgia"/>
            </w:rPr>
            <w:t xml:space="preserve">. </w:t>
          </w:r>
        </w:p>
        <w:p w:rsidR="002552EB" w:rsidRDefault="002552EB" w:rsidP="002552EB">
          <w:pPr>
            <w:pStyle w:val="NormalWeb"/>
            <w:spacing w:before="0" w:beforeAutospacing="0" w:after="0" w:afterAutospacing="0"/>
          </w:pPr>
          <w:r>
            <w:rPr>
              <w:rFonts w:ascii="Georgia" w:hAnsi="Georgia"/>
            </w:rPr>
            <w:t> </w:t>
          </w:r>
        </w:p>
        <w:p w:rsidR="002552EB" w:rsidRDefault="002552EB" w:rsidP="002552EB">
          <w:pPr>
            <w:pStyle w:val="NormalWeb"/>
            <w:spacing w:before="0" w:beforeAutospacing="0" w:after="0" w:afterAutospacing="0"/>
          </w:pPr>
          <w:r>
            <w:rPr>
              <w:rFonts w:ascii="Georgia" w:hAnsi="Georgia"/>
            </w:rPr>
            <w:t xml:space="preserve">For more information on USCIS and our programs, please visit </w:t>
          </w:r>
          <w:hyperlink r:id="rId17" w:tooltip="http://www.uscis.gov/" w:history="1">
            <w:r>
              <w:rPr>
                <w:rStyle w:val="Hyperlink"/>
                <w:rFonts w:ascii="Georgia" w:hAnsi="Georgia"/>
              </w:rPr>
              <w:t>uscis.gov</w:t>
            </w:r>
          </w:hyperlink>
          <w:r>
            <w:rPr>
              <w:rFonts w:ascii="Georgia" w:hAnsi="Georgia"/>
            </w:rPr>
            <w:t xml:space="preserve"> or follow us on Twitter (</w:t>
          </w:r>
          <w:hyperlink r:id="rId18" w:tooltip="http://twitter.com/uscis" w:history="1">
            <w:r>
              <w:rPr>
                <w:rStyle w:val="Hyperlink"/>
                <w:rFonts w:ascii="Georgia" w:hAnsi="Georgia"/>
              </w:rPr>
              <w:t>@</w:t>
            </w:r>
            <w:proofErr w:type="spellStart"/>
            <w:r>
              <w:rPr>
                <w:rStyle w:val="Hyperlink"/>
                <w:rFonts w:ascii="Georgia" w:hAnsi="Georgia"/>
              </w:rPr>
              <w:t>uscis</w:t>
            </w:r>
            <w:proofErr w:type="spellEnd"/>
          </w:hyperlink>
          <w:r>
            <w:rPr>
              <w:rFonts w:ascii="Georgia" w:hAnsi="Georgia"/>
            </w:rPr>
            <w:t>), Instagram (</w:t>
          </w:r>
          <w:hyperlink r:id="rId19" w:history="1">
            <w:r>
              <w:rPr>
                <w:rStyle w:val="Hyperlink"/>
                <w:rFonts w:ascii="Georgia" w:hAnsi="Georgia"/>
              </w:rPr>
              <w:t>/</w:t>
            </w:r>
            <w:proofErr w:type="spellStart"/>
            <w:r>
              <w:rPr>
                <w:rStyle w:val="Hyperlink"/>
                <w:rFonts w:ascii="Georgia" w:hAnsi="Georgia"/>
              </w:rPr>
              <w:t>uscis</w:t>
            </w:r>
            <w:proofErr w:type="spellEnd"/>
          </w:hyperlink>
          <w:r>
            <w:rPr>
              <w:rFonts w:ascii="Georgia" w:hAnsi="Georgia"/>
            </w:rPr>
            <w:t>), YouTube (</w:t>
          </w:r>
          <w:hyperlink r:id="rId20" w:tooltip="http://www.youtube.com/user/uscis" w:history="1">
            <w:r>
              <w:rPr>
                <w:rStyle w:val="Hyperlink"/>
                <w:rFonts w:ascii="Georgia" w:hAnsi="Georgia"/>
              </w:rPr>
              <w:t>/</w:t>
            </w:r>
            <w:proofErr w:type="spellStart"/>
            <w:r>
              <w:rPr>
                <w:rStyle w:val="Hyperlink"/>
                <w:rFonts w:ascii="Georgia" w:hAnsi="Georgia"/>
              </w:rPr>
              <w:t>uscis</w:t>
            </w:r>
            <w:proofErr w:type="spellEnd"/>
          </w:hyperlink>
          <w:r>
            <w:rPr>
              <w:rFonts w:ascii="Georgia" w:hAnsi="Georgia"/>
            </w:rPr>
            <w:t>) and Facebook (/</w:t>
          </w:r>
          <w:proofErr w:type="spellStart"/>
          <w:r>
            <w:fldChar w:fldCharType="begin"/>
          </w:r>
          <w:r>
            <w:instrText xml:space="preserve"> HYPERLINK "https://lnks.gd/l/eyJhbGciOiJIUzI1NiJ9.eyJidWxsZXRpbl9saW5rX2lkIjoxMDksInVyaSI6ImJwMjpjbGljayIsImJ1bGxldGluX2lkIjoiMjAyMDA3MzEuMjUxMjk2NjEiLCJ1cmwiOiJodHRwczovL3d3dy5mYWNlYm9vay5jb20vdXNjaXM_dXRtX2NvbnRlbnQ9JnV0bV9tZWRpdW09ZW1haWwmdXRtX25hbWU9JnV0bV9zb3VyY2U9Z292ZGVsaXZlcnkmdXRtX3Rlcm09In0.biQKJrukItot0SVywEbpOXlxa_dYiK9EdB9zAp4NY6M/s/109648368/br/81748763877-l" </w:instrText>
          </w:r>
          <w:r>
            <w:fldChar w:fldCharType="separate"/>
          </w:r>
          <w:r>
            <w:rPr>
              <w:rStyle w:val="Hyperlink"/>
              <w:rFonts w:ascii="Georgia" w:hAnsi="Georgia"/>
            </w:rPr>
            <w:t>uscis</w:t>
          </w:r>
          <w:proofErr w:type="spellEnd"/>
          <w:r>
            <w:fldChar w:fldCharType="end"/>
          </w:r>
          <w:r>
            <w:rPr>
              <w:rFonts w:ascii="Georgia" w:hAnsi="Georgia"/>
            </w:rPr>
            <w:t>).</w:t>
          </w:r>
          <w:r>
            <w:rPr>
              <w:rFonts w:ascii="Georgia" w:hAnsi="Georgia"/>
              <w:color w:val="0000FF"/>
            </w:rPr>
            <w:t>  </w:t>
          </w:r>
        </w:p>
        <w:p w:rsidR="00073127" w:rsidRDefault="00073127" w:rsidP="002552EB"/>
        <w:p w:rsidR="00547E68" w:rsidRPr="00073127" w:rsidRDefault="001F796D" w:rsidP="00073127">
          <w:pPr>
            <w:rPr>
              <w:lang w:bidi="ar-SA"/>
            </w:rPr>
          </w:pPr>
        </w:p>
      </w:sdtContent>
    </w:sdt>
    <w:sectPr w:rsidR="00547E68" w:rsidRPr="00073127" w:rsidSect="00B437C8">
      <w:footerReference w:type="default" r:id="rId21"/>
      <w:footerReference w:type="first" r:id="rId2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96D" w:rsidRDefault="001F796D" w:rsidP="00D91FF4">
      <w:r>
        <w:separator/>
      </w:r>
    </w:p>
  </w:endnote>
  <w:endnote w:type="continuationSeparator" w:id="0">
    <w:p w:rsidR="001F796D" w:rsidRDefault="001F796D"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96D" w:rsidRDefault="001F796D" w:rsidP="00D91FF4">
      <w:r>
        <w:separator/>
      </w:r>
    </w:p>
  </w:footnote>
  <w:footnote w:type="continuationSeparator" w:id="0">
    <w:p w:rsidR="001F796D" w:rsidRDefault="001F796D"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625B0B"/>
    <w:multiLevelType w:val="multilevel"/>
    <w:tmpl w:val="DFA20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8"/>
  </w:num>
  <w:num w:numId="4">
    <w:abstractNumId w:val="25"/>
  </w:num>
  <w:num w:numId="5">
    <w:abstractNumId w:val="23"/>
  </w:num>
  <w:num w:numId="6">
    <w:abstractNumId w:val="10"/>
  </w:num>
  <w:num w:numId="7">
    <w:abstractNumId w:val="20"/>
  </w:num>
  <w:num w:numId="8">
    <w:abstractNumId w:val="14"/>
  </w:num>
  <w:num w:numId="9">
    <w:abstractNumId w:val="18"/>
  </w:num>
  <w:num w:numId="10">
    <w:abstractNumId w:val="8"/>
  </w:num>
  <w:num w:numId="11">
    <w:abstractNumId w:val="8"/>
  </w:num>
  <w:num w:numId="12">
    <w:abstractNumId w:val="29"/>
  </w:num>
  <w:num w:numId="13">
    <w:abstractNumId w:val="30"/>
  </w:num>
  <w:num w:numId="14">
    <w:abstractNumId w:val="22"/>
  </w:num>
  <w:num w:numId="15">
    <w:abstractNumId w:val="8"/>
  </w:num>
  <w:num w:numId="16">
    <w:abstractNumId w:val="30"/>
  </w:num>
  <w:num w:numId="17">
    <w:abstractNumId w:val="22"/>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9"/>
  </w:num>
  <w:num w:numId="28">
    <w:abstractNumId w:val="13"/>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7"/>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EB"/>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1F796D"/>
    <w:rsid w:val="00211CA3"/>
    <w:rsid w:val="00222A49"/>
    <w:rsid w:val="0022552E"/>
    <w:rsid w:val="00227E68"/>
    <w:rsid w:val="00232F7C"/>
    <w:rsid w:val="00236CB0"/>
    <w:rsid w:val="002552EB"/>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E08FD"/>
  <w15:chartTrackingRefBased/>
  <w15:docId w15:val="{57BF86C5-3655-4760-A86B-DB6DC8BB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NormalWeb">
    <w:name w:val="Normal (Web)"/>
    <w:basedOn w:val="Normal"/>
    <w:uiPriority w:val="99"/>
    <w:semiHidden/>
    <w:unhideWhenUsed/>
    <w:rsid w:val="002552EB"/>
    <w:pPr>
      <w:spacing w:before="100" w:beforeAutospacing="1" w:after="100" w:afterAutospacing="1" w:line="240" w:lineRule="auto"/>
    </w:pPr>
    <w:rPr>
      <w:rFonts w:ascii="Times New Roman" w:eastAsiaTheme="minorHAnsi"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00882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nks.gd/l/eyJhbGciOiJIUzI1NiJ9.eyJidWxsZXRpbl9saW5rX2lkIjoxMDIsInVyaSI6ImJwMjpjbGljayIsImJ1bGxldGluX2lkIjoiMjAyMDA3MzEuMjUxMjk2NjEiLCJ1cmwiOiJodHRwczovL3d3dy5lLXZlcmlmeS5nb3YvP3V0bV9jb250ZW50PSZ1dG1fbWVkaXVtPWVtYWlsJnV0bV9uYW1lPSZ1dG1fc291cmNlPWdvdmRlbGl2ZXJ5JnV0bV90ZXJtPSJ9.B7Ezoh1BRjRyRqy82N7k6Ojj44GM4EcW8TKUtBflQyU/s/109648368/br/81748763877-l" TargetMode="External"/><Relationship Id="rId18" Type="http://schemas.openxmlformats.org/officeDocument/2006/relationships/hyperlink" Target="https://lnks.gd/l/eyJhbGciOiJIUzI1NiJ9.eyJidWxsZXRpbl9saW5rX2lkIjoxMDYsInVyaSI6ImJwMjpjbGljayIsImJ1bGxldGluX2lkIjoiMjAyMDA3MzEuMjUxMjk2NjEiLCJ1cmwiOiJodHRwOi8vdHdpdHRlci5jb20vdXNjaXM_dXRtX2NvbnRlbnQ9JnV0bV9tZWRpdW09ZW1haWwmdXRtX25hbWU9JnV0bV9zb3VyY2U9Z292ZGVsaXZlcnkmdXRtX3Rlcm09In0.k-fZ8MBxGOvBJ_q2RC3pNu5G-L4CutT9rwaiMG-d9Zw/s/109648368/br/81748763877-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nks.gd/l/eyJhbGciOiJIUzI1NiJ9.eyJidWxsZXRpbl9saW5rX2lkIjoxMDEsInVyaSI6ImJwMjpjbGljayIsImJ1bGxldGluX2lkIjoiMjAyMDA3MzEuMjUxMjk2NjEiLCJ1cmwiOiJodHRwczovL3d3dy51c2Npcy5nb3Yvc2l0ZXMvZGVmYXVsdC9maWxlcy9kb2N1bWVudC9ub3RpY2VzL1JBQVBfRllfMjAyMF9OT0ZPX0ZJTkFMLnBkZj91dG1fY29udGVudD0mdXRtX21lZGl1bT1lbWFpbCZ1dG1fbmFtZT0mdXRtX3NvdXJjZT1nb3ZkZWxpdmVyeSZ1dG1fdGVybT0ifQ._2AVyKqI_vIea7tGhSr6atuhQWeKUJ2Nk3afrSuJ8wg/s/109648368/br/81748763877-l" TargetMode="External"/><Relationship Id="rId17" Type="http://schemas.openxmlformats.org/officeDocument/2006/relationships/hyperlink" Target="https://lnks.gd/l/eyJhbGciOiJIUzI1NiJ9.eyJidWxsZXRpbl9saW5rX2lkIjoxMDUsInVyaSI6ImJwMjpjbGljayIsImJ1bGxldGluX2lkIjoiMjAyMDA3MzEuMjUxMjk2NjEiLCJ1cmwiOiJodHRwOi8vd3d3LnVzY2lzLmdvdi8_dXRtX2NvbnRlbnQ9JnV0bV9tZWRpdW09ZW1haWwmdXRtX25hbWU9JnV0bV9zb3VyY2U9Z292ZGVsaXZlcnkmdXRtX3Rlcm09In0.aypNbXK5P4J9pTWsFvTmblLpN1XVkXYeqs6P6ikjMHc/s/109648368/br/81748763877-l" TargetMode="External"/><Relationship Id="rId2" Type="http://schemas.openxmlformats.org/officeDocument/2006/relationships/customXml" Target="../customXml/item2.xml"/><Relationship Id="rId16" Type="http://schemas.openxmlformats.org/officeDocument/2006/relationships/hyperlink" Target="mailto:citizenshipgrantprogram@uscis.dhs.gov" TargetMode="External"/><Relationship Id="rId20" Type="http://schemas.openxmlformats.org/officeDocument/2006/relationships/hyperlink" Target="https://lnks.gd/l/eyJhbGciOiJIUzI1NiJ9.eyJidWxsZXRpbl9saW5rX2lkIjoxMDgsInVyaSI6ImJwMjpjbGljayIsImJ1bGxldGluX2lkIjoiMjAyMDA3MzEuMjUxMjk2NjEiLCJ1cmwiOiJodHRwOi8vd3d3LnlvdXR1YmUuY29tL3VzZXIvdXNjaXM_dXRtX2NvbnRlbnQ9JnV0bV9tZWRpdW09ZW1haWwmdXRtX25hbWU9JnV0bV9zb3VyY2U9Z292ZGVsaXZlcnkmdXRtX3Rlcm09In0.fh1-LSf54rbFwR-si4k-bgSvRP8NWh0PlsRlCprVhoE/s/109648368/br/81748763877-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nks.gd/l/eyJhbGciOiJIUzI1NiJ9.eyJidWxsZXRpbl9saW5rX2lkIjoxMDAsInVyaSI6ImJwMjpjbGljayIsImJ1bGxldGluX2lkIjoiMjAyMDA3MzEuMjUxMjk2NjEiLCJ1cmwiOiJodHRwczovL3d3dy51c2Npcy5nb3Yvc2l0ZXMvZGVmYXVsdC9maWxlcy9kb2N1bWVudC9ub3RpY2VzL0NJTkFTX0ZZXzIwMjBfTk9GT19GSU5BTC5wZGY_dXRtX2NvbnRlbnQ9JnV0bV9tZWRpdW09ZW1haWwmdXRtX25hbWU9JnV0bV9zb3VyY2U9Z292ZGVsaXZlcnkmdXRtX3Rlcm09In0.ULJSAKMYtegR40Q9js2CXtorQH9cEdj_P_Q9-YRR0lU/s/109648368/br/81748763877-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nks.gd/l/eyJhbGciOiJIUzI1NiJ9.eyJidWxsZXRpbl9saW5rX2lkIjoxMDQsInVyaSI6ImJwMjpjbGljayIsImJ1bGxldGluX2lkIjoiMjAyMDA3MzEuMjUxMjk2NjEiLCJ1cmwiOiJodHRwOi8vd3d3LnVzY2lzLmdvdi9ncmFudHM_dXRtX2NvbnRlbnQ9JnV0bV9tZWRpdW09ZW1haWwmdXRtX25hbWU9JnV0bV9zb3VyY2U9Z292ZGVsaXZlcnkmdXRtX3Rlcm09In0.HjCLGjwJTaSduLRydvUwnG0U7tAgWQI5b6c1b48yiBM/s/109648368/br/81748763877-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nks.gd/l/eyJhbGciOiJIUzI1NiJ9.eyJidWxsZXRpbl9saW5rX2lkIjoxMDcsInVyaSI6ImJwMjpjbGljayIsImJ1bGxldGluX2lkIjoiMjAyMDA3MzEuMjUxMjk2NjEiLCJ1cmwiOiJodHRwczovL3d3dy5pbnN0YWdyYW0uY29tL3VzY2lzP3V0bV9jb250ZW50PSZ1dG1fbWVkaXVtPWVtYWlsJnV0bV9uYW1lPSZ1dG1fc291cmNlPWdvdmRlbGl2ZXJ5JnV0bV90ZXJtPSJ9.eUJOAKd7WSM6i180qyeh_i0Ixhe-FJFkyLp2_xU7ZMg/s/109648368/br/81748763877-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nks.gd/l/eyJhbGciOiJIUzI1NiJ9.eyJidWxsZXRpbl9saW5rX2lkIjoxMDMsInVyaSI6ImJwMjpjbGljayIsImJ1bGxldGluX2lkIjoiMjAyMDA3MzEuMjUxMjk2NjEiLCJ1cmwiOiJodHRwOi8vd3d3LmdyYW50cy5nb3YvP3V0bV9jb250ZW50PSZ1dG1fbWVkaXVtPWVtYWlsJnV0bV9uYW1lPSZ1dG1fc291cmNlPWdvdmRlbGl2ZXJ5JnV0bV90ZXJtPSJ9.8boxauQnxq66ZUPDjwMzQ0lEcGvUgOWYiae4cpu47qk/s/109648368/br/81748763877-l"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12EB39-E5BC-4850-A0B3-DCECE177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Feedback</dc:creator>
  <cp:keywords/>
  <dc:description/>
  <cp:lastModifiedBy>Feedback</cp:lastModifiedBy>
  <cp:revision>1</cp:revision>
  <dcterms:created xsi:type="dcterms:W3CDTF">2020-08-04T13:39:00Z</dcterms:created>
  <dcterms:modified xsi:type="dcterms:W3CDTF">2020-08-04T13:40:00Z</dcterms:modified>
</cp:coreProperties>
</file>